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63" w:rsidRPr="009E55C6" w:rsidRDefault="001D1118" w:rsidP="00BF6D1F">
      <w:pPr>
        <w:jc w:val="center"/>
        <w:rPr>
          <w:b/>
          <w:sz w:val="20"/>
          <w:szCs w:val="20"/>
        </w:rPr>
      </w:pPr>
      <w:bookmarkStart w:id="0" w:name="_GoBack"/>
      <w:bookmarkEnd w:id="0"/>
      <w:r w:rsidRPr="00307893">
        <w:rPr>
          <w:b/>
          <w:sz w:val="36"/>
          <w:szCs w:val="40"/>
        </w:rPr>
        <w:t>Procurement Method Report</w:t>
      </w:r>
      <w:r w:rsidR="00F80FB8">
        <w:rPr>
          <w:b/>
          <w:sz w:val="36"/>
          <w:szCs w:val="40"/>
        </w:rPr>
        <w:t xml:space="preserve"> Sole Source / Inadequate Competition</w:t>
      </w:r>
    </w:p>
    <w:p w:rsidR="00BF6D1F" w:rsidRPr="009E55C6" w:rsidRDefault="00BF6D1F" w:rsidP="00162D97">
      <w:pPr>
        <w:ind w:left="2955" w:right="1800"/>
        <w:rPr>
          <w:sz w:val="12"/>
          <w:szCs w:val="12"/>
        </w:rPr>
      </w:pPr>
    </w:p>
    <w:p w:rsidR="000D562E" w:rsidRPr="000D562E" w:rsidRDefault="000D562E" w:rsidP="009E1BF7">
      <w:pPr>
        <w:ind w:left="-90"/>
        <w:rPr>
          <w:sz w:val="28"/>
          <w:szCs w:val="20"/>
        </w:rPr>
      </w:pPr>
      <w:r w:rsidRPr="000D562E">
        <w:rPr>
          <w:sz w:val="28"/>
          <w:szCs w:val="20"/>
        </w:rPr>
        <w:t xml:space="preserve">Use this form for Procurements (purchases/orders) </w:t>
      </w:r>
      <w:r w:rsidR="0028109E">
        <w:rPr>
          <w:sz w:val="28"/>
          <w:szCs w:val="20"/>
        </w:rPr>
        <w:t>that are Sole Source or Inadequate Competition</w:t>
      </w:r>
      <w:r w:rsidRPr="000D562E">
        <w:rPr>
          <w:sz w:val="28"/>
          <w:szCs w:val="20"/>
        </w:rPr>
        <w:t>.</w:t>
      </w:r>
      <w:r w:rsidR="0028109E">
        <w:rPr>
          <w:sz w:val="28"/>
          <w:szCs w:val="20"/>
        </w:rPr>
        <w:t xml:space="preserve"> (Note: this is not the same as a pre-bid contract, if the purchase if using a pre-bid contract please use the appropriate form.)</w:t>
      </w:r>
    </w:p>
    <w:p w:rsidR="000D562E" w:rsidRDefault="000D562E" w:rsidP="009E1BF7">
      <w:pPr>
        <w:ind w:left="-90"/>
        <w:rPr>
          <w:sz w:val="20"/>
          <w:szCs w:val="20"/>
        </w:rPr>
      </w:pPr>
    </w:p>
    <w:p w:rsidR="009B6E62" w:rsidRPr="003B41F0" w:rsidRDefault="00E94ED3" w:rsidP="000667FF">
      <w:pPr>
        <w:ind w:left="-90"/>
        <w:rPr>
          <w:sz w:val="20"/>
          <w:szCs w:val="20"/>
        </w:rPr>
      </w:pPr>
      <w:r>
        <w:rPr>
          <w:sz w:val="20"/>
          <w:szCs w:val="20"/>
        </w:rPr>
        <w:t>Subr</w:t>
      </w:r>
      <w:r w:rsidR="000667FF">
        <w:rPr>
          <w:sz w:val="20"/>
          <w:szCs w:val="20"/>
        </w:rPr>
        <w:t>ecipient</w:t>
      </w:r>
      <w:r w:rsidR="009B6E62" w:rsidRPr="00443181">
        <w:rPr>
          <w:sz w:val="20"/>
          <w:szCs w:val="20"/>
        </w:rPr>
        <w:t xml:space="preserve">s shall accomplish </w:t>
      </w:r>
      <w:r w:rsidR="009B6E62" w:rsidRPr="000667FF">
        <w:rPr>
          <w:b/>
          <w:sz w:val="20"/>
          <w:szCs w:val="20"/>
          <w:u w:val="single"/>
        </w:rPr>
        <w:t>three</w:t>
      </w:r>
      <w:r w:rsidR="000667FF" w:rsidRPr="000667FF">
        <w:rPr>
          <w:b/>
          <w:sz w:val="20"/>
          <w:szCs w:val="20"/>
          <w:u w:val="single"/>
        </w:rPr>
        <w:t xml:space="preserve"> (3)</w:t>
      </w:r>
      <w:r w:rsidR="009B6E62" w:rsidRPr="00443181">
        <w:rPr>
          <w:sz w:val="20"/>
          <w:szCs w:val="20"/>
        </w:rPr>
        <w:t xml:space="preserve"> requirements with this form: </w:t>
      </w:r>
      <w:r w:rsidR="000667FF" w:rsidRPr="00FA5973">
        <w:rPr>
          <w:b/>
          <w:sz w:val="20"/>
          <w:szCs w:val="20"/>
        </w:rPr>
        <w:t>(1)</w:t>
      </w:r>
      <w:r w:rsidR="000667FF">
        <w:rPr>
          <w:sz w:val="20"/>
          <w:szCs w:val="20"/>
        </w:rPr>
        <w:t xml:space="preserve"> </w:t>
      </w:r>
      <w:r w:rsidR="005C3742">
        <w:rPr>
          <w:sz w:val="20"/>
          <w:szCs w:val="20"/>
        </w:rPr>
        <w:t xml:space="preserve">identification of procurement method, </w:t>
      </w:r>
      <w:r w:rsidR="000667FF" w:rsidRPr="00FA5973">
        <w:rPr>
          <w:b/>
          <w:sz w:val="20"/>
          <w:szCs w:val="20"/>
        </w:rPr>
        <w:t>(2)</w:t>
      </w:r>
      <w:r w:rsidR="000667FF">
        <w:rPr>
          <w:sz w:val="20"/>
          <w:szCs w:val="20"/>
        </w:rPr>
        <w:t xml:space="preserve"> </w:t>
      </w:r>
      <w:r w:rsidR="005C3742" w:rsidRPr="00443181">
        <w:rPr>
          <w:sz w:val="20"/>
          <w:szCs w:val="20"/>
        </w:rPr>
        <w:t xml:space="preserve">SAMS check, </w:t>
      </w:r>
      <w:r w:rsidR="000667FF">
        <w:rPr>
          <w:sz w:val="20"/>
          <w:szCs w:val="20"/>
        </w:rPr>
        <w:t xml:space="preserve">and </w:t>
      </w:r>
      <w:r w:rsidR="000667FF" w:rsidRPr="00FA5973">
        <w:rPr>
          <w:b/>
          <w:sz w:val="20"/>
          <w:szCs w:val="20"/>
        </w:rPr>
        <w:t>(3)</w:t>
      </w:r>
      <w:r w:rsidR="000667FF">
        <w:rPr>
          <w:sz w:val="20"/>
          <w:szCs w:val="20"/>
        </w:rPr>
        <w:t xml:space="preserve"> certification </w:t>
      </w:r>
      <w:r w:rsidR="009B6E62" w:rsidRPr="00443181">
        <w:rPr>
          <w:sz w:val="20"/>
          <w:szCs w:val="20"/>
        </w:rPr>
        <w:t>sign</w:t>
      </w:r>
      <w:r w:rsidR="0028109E">
        <w:rPr>
          <w:sz w:val="20"/>
          <w:szCs w:val="20"/>
        </w:rPr>
        <w:t>ature</w:t>
      </w:r>
      <w:r w:rsidR="009B6E62" w:rsidRPr="003B41F0">
        <w:rPr>
          <w:sz w:val="20"/>
          <w:szCs w:val="20"/>
        </w:rPr>
        <w:t xml:space="preserve">. (Project Manager’s signature is </w:t>
      </w:r>
      <w:r w:rsidR="009E1BF7" w:rsidRPr="003B41F0">
        <w:rPr>
          <w:sz w:val="20"/>
          <w:szCs w:val="20"/>
        </w:rPr>
        <w:t xml:space="preserve">adequate </w:t>
      </w:r>
      <w:r w:rsidR="009B6E62" w:rsidRPr="003B41F0">
        <w:rPr>
          <w:sz w:val="20"/>
          <w:szCs w:val="20"/>
        </w:rPr>
        <w:t xml:space="preserve">certification </w:t>
      </w:r>
      <w:r w:rsidR="009E1BF7" w:rsidRPr="003B41F0">
        <w:rPr>
          <w:sz w:val="20"/>
          <w:szCs w:val="20"/>
        </w:rPr>
        <w:t xml:space="preserve">that </w:t>
      </w:r>
      <w:r w:rsidR="009B6E62" w:rsidRPr="003B41F0">
        <w:rPr>
          <w:sz w:val="20"/>
          <w:szCs w:val="20"/>
        </w:rPr>
        <w:t>competition was done</w:t>
      </w:r>
      <w:r>
        <w:rPr>
          <w:sz w:val="20"/>
          <w:szCs w:val="20"/>
        </w:rPr>
        <w:t>, and that the Subr</w:t>
      </w:r>
      <w:r w:rsidR="007D3568" w:rsidRPr="003B41F0">
        <w:rPr>
          <w:sz w:val="20"/>
          <w:szCs w:val="20"/>
        </w:rPr>
        <w:t xml:space="preserve">ecipient is complying with </w:t>
      </w:r>
      <w:r w:rsidR="009E1BF7" w:rsidRPr="003B41F0">
        <w:rPr>
          <w:sz w:val="20"/>
          <w:szCs w:val="20"/>
        </w:rPr>
        <w:t xml:space="preserve">the </w:t>
      </w:r>
      <w:r w:rsidR="007D3568" w:rsidRPr="003B41F0">
        <w:rPr>
          <w:sz w:val="20"/>
          <w:szCs w:val="20"/>
        </w:rPr>
        <w:t>most st</w:t>
      </w:r>
      <w:r w:rsidR="009E1BF7" w:rsidRPr="003B41F0">
        <w:rPr>
          <w:sz w:val="20"/>
          <w:szCs w:val="20"/>
        </w:rPr>
        <w:t>ringent procurement procedures-</w:t>
      </w:r>
      <w:r w:rsidR="007D3568" w:rsidRPr="003B41F0">
        <w:rPr>
          <w:sz w:val="20"/>
          <w:szCs w:val="20"/>
        </w:rPr>
        <w:t>whether</w:t>
      </w:r>
      <w:r w:rsidR="009E1BF7" w:rsidRPr="003B41F0">
        <w:rPr>
          <w:sz w:val="20"/>
          <w:szCs w:val="20"/>
        </w:rPr>
        <w:t xml:space="preserve"> federal, state, or local</w:t>
      </w:r>
      <w:r w:rsidR="009B6E62" w:rsidRPr="003B41F0">
        <w:rPr>
          <w:sz w:val="20"/>
          <w:szCs w:val="20"/>
        </w:rPr>
        <w:t>)</w:t>
      </w:r>
      <w:r w:rsidR="009E1BF7" w:rsidRPr="003B41F0">
        <w:rPr>
          <w:sz w:val="20"/>
          <w:szCs w:val="20"/>
        </w:rPr>
        <w:t>.</w:t>
      </w:r>
    </w:p>
    <w:p w:rsidR="002E08E4" w:rsidRPr="009E55C6" w:rsidRDefault="002E08E4" w:rsidP="009E55C6">
      <w:pPr>
        <w:ind w:hanging="90"/>
        <w:rPr>
          <w:sz w:val="12"/>
          <w:szCs w:val="12"/>
        </w:rPr>
      </w:pPr>
    </w:p>
    <w:p w:rsidR="002E08E4" w:rsidRDefault="00FA5973" w:rsidP="00FA5973">
      <w:pPr>
        <w:ind w:left="-90"/>
        <w:rPr>
          <w:sz w:val="20"/>
          <w:szCs w:val="20"/>
        </w:rPr>
      </w:pPr>
      <w:r w:rsidRPr="00FA5973">
        <w:rPr>
          <w:b/>
          <w:sz w:val="20"/>
          <w:szCs w:val="20"/>
          <w:u w:val="single"/>
        </w:rPr>
        <w:t>Reminder:</w:t>
      </w:r>
      <w:r w:rsidR="002E08E4" w:rsidRPr="00443181">
        <w:rPr>
          <w:sz w:val="20"/>
          <w:szCs w:val="20"/>
        </w:rPr>
        <w:t xml:space="preserve"> </w:t>
      </w:r>
      <w:r w:rsidR="0090323A">
        <w:rPr>
          <w:sz w:val="20"/>
          <w:szCs w:val="20"/>
        </w:rPr>
        <w:t>Procurements must be conducted applying the most stringent of applicable procurement re</w:t>
      </w:r>
      <w:r w:rsidR="002C1AF6">
        <w:rPr>
          <w:sz w:val="20"/>
          <w:szCs w:val="20"/>
        </w:rPr>
        <w:t xml:space="preserve">quirements (whether </w:t>
      </w:r>
      <w:r w:rsidR="009E1BF7">
        <w:rPr>
          <w:sz w:val="20"/>
          <w:szCs w:val="20"/>
        </w:rPr>
        <w:t>federal, state of local</w:t>
      </w:r>
      <w:r w:rsidR="0090323A">
        <w:rPr>
          <w:sz w:val="20"/>
          <w:szCs w:val="20"/>
        </w:rPr>
        <w:t>)</w:t>
      </w:r>
      <w:r w:rsidR="009E1BF7">
        <w:rPr>
          <w:sz w:val="20"/>
          <w:szCs w:val="20"/>
        </w:rPr>
        <w:t>.</w:t>
      </w:r>
      <w:r w:rsidR="0090323A">
        <w:rPr>
          <w:sz w:val="20"/>
          <w:szCs w:val="20"/>
        </w:rPr>
        <w:t xml:space="preserve"> J</w:t>
      </w:r>
      <w:r w:rsidR="002E08E4" w:rsidRPr="00443181">
        <w:rPr>
          <w:sz w:val="20"/>
          <w:szCs w:val="20"/>
        </w:rPr>
        <w:t>urisdiction</w:t>
      </w:r>
      <w:r>
        <w:rPr>
          <w:sz w:val="20"/>
          <w:szCs w:val="20"/>
        </w:rPr>
        <w:t>s</w:t>
      </w:r>
      <w:r w:rsidR="002E08E4" w:rsidRPr="00443181">
        <w:rPr>
          <w:sz w:val="20"/>
          <w:szCs w:val="20"/>
        </w:rPr>
        <w:t xml:space="preserve"> must adhere to their local requirements for </w:t>
      </w:r>
      <w:r>
        <w:rPr>
          <w:sz w:val="20"/>
          <w:szCs w:val="20"/>
        </w:rPr>
        <w:t xml:space="preserve">all </w:t>
      </w:r>
      <w:r w:rsidR="002E08E4" w:rsidRPr="00443181">
        <w:rPr>
          <w:sz w:val="20"/>
          <w:szCs w:val="20"/>
        </w:rPr>
        <w:t>procurement</w:t>
      </w:r>
      <w:r w:rsidR="0090323A">
        <w:rPr>
          <w:sz w:val="20"/>
          <w:szCs w:val="20"/>
        </w:rPr>
        <w:t xml:space="preserve">s if they are more stringent than those listed below. </w:t>
      </w:r>
    </w:p>
    <w:p w:rsidR="009E55C6" w:rsidRPr="009E55C6" w:rsidRDefault="009E55C6" w:rsidP="009E55C6">
      <w:pPr>
        <w:ind w:hanging="90"/>
        <w:rPr>
          <w:sz w:val="12"/>
          <w:szCs w:val="12"/>
        </w:rPr>
      </w:pPr>
    </w:p>
    <w:p w:rsidR="005C3742" w:rsidRDefault="005C3742" w:rsidP="005C3742">
      <w:pPr>
        <w:ind w:hanging="90"/>
        <w:rPr>
          <w:b/>
          <w:sz w:val="28"/>
          <w:szCs w:val="28"/>
        </w:rPr>
      </w:pPr>
      <w:r>
        <w:rPr>
          <w:b/>
          <w:sz w:val="28"/>
          <w:szCs w:val="28"/>
        </w:rPr>
        <w:t>Subrecipient:____________________________________</w:t>
      </w:r>
    </w:p>
    <w:p w:rsidR="003A18CD" w:rsidRPr="00182330" w:rsidRDefault="003A18CD" w:rsidP="003A18CD">
      <w:pPr>
        <w:ind w:hanging="90"/>
        <w:rPr>
          <w:b/>
          <w:sz w:val="20"/>
          <w:szCs w:val="28"/>
        </w:rPr>
      </w:pPr>
    </w:p>
    <w:p w:rsidR="003A18CD" w:rsidRDefault="003A18CD" w:rsidP="003A18CD">
      <w:pPr>
        <w:ind w:hanging="90"/>
        <w:rPr>
          <w:b/>
          <w:sz w:val="28"/>
          <w:szCs w:val="28"/>
        </w:rPr>
      </w:pPr>
      <w:r>
        <w:rPr>
          <w:b/>
          <w:sz w:val="28"/>
          <w:szCs w:val="28"/>
        </w:rPr>
        <w:t>Grant Award/Disast</w:t>
      </w:r>
      <w:r w:rsidR="00914E92">
        <w:rPr>
          <w:b/>
          <w:sz w:val="28"/>
          <w:szCs w:val="28"/>
        </w:rPr>
        <w:t xml:space="preserve">er Number:___________________  </w:t>
      </w:r>
      <w:r>
        <w:rPr>
          <w:b/>
          <w:sz w:val="28"/>
          <w:szCs w:val="28"/>
        </w:rPr>
        <w:t xml:space="preserve">  PBD/PW</w:t>
      </w:r>
      <w:r w:rsidR="00914E92">
        <w:rPr>
          <w:b/>
          <w:sz w:val="28"/>
          <w:szCs w:val="28"/>
        </w:rPr>
        <w:t>/PJ</w:t>
      </w:r>
      <w:r>
        <w:rPr>
          <w:b/>
          <w:sz w:val="28"/>
          <w:szCs w:val="28"/>
        </w:rPr>
        <w:t>:__________________</w:t>
      </w:r>
    </w:p>
    <w:p w:rsidR="00677668" w:rsidRPr="00A84655" w:rsidRDefault="00677668" w:rsidP="003F362E">
      <w:pPr>
        <w:rPr>
          <w:b/>
          <w:sz w:val="18"/>
          <w:szCs w:val="28"/>
        </w:rPr>
      </w:pPr>
    </w:p>
    <w:p w:rsidR="0066312B" w:rsidRPr="003B41F0" w:rsidRDefault="0066312B" w:rsidP="003F362E">
      <w:pPr>
        <w:rPr>
          <w:b/>
          <w:sz w:val="28"/>
          <w:szCs w:val="28"/>
        </w:rPr>
      </w:pPr>
      <w:r w:rsidRPr="003B41F0">
        <w:rPr>
          <w:b/>
          <w:sz w:val="28"/>
          <w:szCs w:val="28"/>
        </w:rPr>
        <w:t xml:space="preserve">Procurement </w:t>
      </w:r>
      <w:r w:rsidR="009F6C75" w:rsidRPr="003B41F0">
        <w:rPr>
          <w:b/>
          <w:sz w:val="28"/>
          <w:szCs w:val="28"/>
        </w:rPr>
        <w:t>Method (</w:t>
      </w:r>
      <w:r w:rsidRPr="003B41F0">
        <w:rPr>
          <w:b/>
          <w:sz w:val="28"/>
          <w:szCs w:val="28"/>
        </w:rPr>
        <w:t xml:space="preserve">per each </w:t>
      </w:r>
      <w:r w:rsidR="00E24F69" w:rsidRPr="003B41F0">
        <w:rPr>
          <w:b/>
          <w:sz w:val="28"/>
          <w:szCs w:val="28"/>
        </w:rPr>
        <w:t>Purchase/Order</w:t>
      </w:r>
      <w:r w:rsidR="009F6C75" w:rsidRPr="003B41F0">
        <w:rPr>
          <w:b/>
          <w:sz w:val="28"/>
          <w:szCs w:val="28"/>
        </w:rPr>
        <w:t>)</w:t>
      </w:r>
      <w:r w:rsidRPr="003B41F0">
        <w:rPr>
          <w:b/>
          <w:sz w:val="28"/>
          <w:szCs w:val="28"/>
        </w:rPr>
        <w:t xml:space="preserve"> </w:t>
      </w:r>
    </w:p>
    <w:p w:rsidR="00714251" w:rsidRDefault="00E24F69">
      <w:pPr>
        <w:rPr>
          <w:b/>
          <w:i/>
          <w:sz w:val="20"/>
          <w:szCs w:val="20"/>
        </w:rPr>
      </w:pPr>
      <w:r w:rsidRPr="003B41F0">
        <w:rPr>
          <w:b/>
          <w:i/>
          <w:sz w:val="20"/>
          <w:szCs w:val="20"/>
        </w:rPr>
        <w:t>This may include multiple invoices for each purchase or order.</w:t>
      </w:r>
      <w:r w:rsidR="00DE3B68" w:rsidRPr="003B41F0">
        <w:rPr>
          <w:b/>
          <w:i/>
          <w:sz w:val="20"/>
          <w:szCs w:val="20"/>
        </w:rPr>
        <w:t xml:space="preserve"> </w:t>
      </w:r>
    </w:p>
    <w:p w:rsidR="00A84655" w:rsidRPr="00A84655" w:rsidRDefault="00A84655">
      <w:pPr>
        <w:rPr>
          <w:b/>
          <w:i/>
          <w:sz w:val="18"/>
          <w:szCs w:val="20"/>
        </w:rPr>
      </w:pPr>
    </w:p>
    <w:p w:rsidR="00897852" w:rsidRDefault="00A84655">
      <w:pPr>
        <w:rPr>
          <w:rStyle w:val="Helvetica"/>
          <w:b/>
          <w:i/>
          <w:spacing w:val="-2"/>
          <w:sz w:val="20"/>
          <w:highlight w:val="yellow"/>
        </w:rPr>
      </w:pPr>
      <w:r w:rsidRPr="00FF7490">
        <w:rPr>
          <w:rStyle w:val="Helvetica"/>
          <w:b/>
          <w:i/>
          <w:spacing w:val="-2"/>
          <w:sz w:val="20"/>
          <w:highlight w:val="yellow"/>
        </w:rPr>
        <w:t xml:space="preserve">NOTE: DHS&amp;EM will no longer approve (nor reimburse) </w:t>
      </w:r>
      <w:r>
        <w:rPr>
          <w:rStyle w:val="Helvetica"/>
          <w:b/>
          <w:i/>
          <w:spacing w:val="-2"/>
          <w:sz w:val="20"/>
          <w:highlight w:val="yellow"/>
        </w:rPr>
        <w:t>this type of procurement</w:t>
      </w:r>
      <w:r w:rsidRPr="00FF7490">
        <w:rPr>
          <w:rStyle w:val="Helvetica"/>
          <w:b/>
          <w:i/>
          <w:spacing w:val="-2"/>
          <w:sz w:val="20"/>
          <w:highlight w:val="yellow"/>
        </w:rPr>
        <w:t xml:space="preserve"> after the purchase is made.</w:t>
      </w:r>
    </w:p>
    <w:p w:rsidR="00A84655" w:rsidRPr="003B41F0" w:rsidRDefault="00897852">
      <w:pPr>
        <w:rPr>
          <w:b/>
          <w:i/>
          <w:sz w:val="14"/>
          <w:szCs w:val="20"/>
        </w:rPr>
      </w:pPr>
      <w:r>
        <w:rPr>
          <w:rStyle w:val="Helvetica"/>
          <w:b/>
          <w:i/>
          <w:spacing w:val="-2"/>
          <w:sz w:val="20"/>
          <w:highlight w:val="yellow"/>
        </w:rPr>
        <w:t xml:space="preserve">E-mail to </w:t>
      </w:r>
      <w:r w:rsidRPr="00897852">
        <w:rPr>
          <w:rStyle w:val="Helvetica"/>
          <w:b/>
          <w:i/>
          <w:spacing w:val="-2"/>
          <w:sz w:val="20"/>
          <w:highlight w:val="yellow"/>
        </w:rPr>
        <w:t>mva.grants@alaska.gov</w:t>
      </w:r>
      <w:r>
        <w:rPr>
          <w:rStyle w:val="Helvetica"/>
          <w:b/>
          <w:i/>
          <w:spacing w:val="-2"/>
          <w:sz w:val="20"/>
          <w:highlight w:val="yellow"/>
        </w:rPr>
        <w:t xml:space="preserve"> for approval</w:t>
      </w:r>
      <w:r w:rsidR="00A84655" w:rsidRPr="00FF7490">
        <w:rPr>
          <w:rStyle w:val="Helvetica"/>
          <w:b/>
          <w:i/>
          <w:spacing w:val="-2"/>
          <w:sz w:val="20"/>
          <w:highlight w:val="yellow"/>
        </w:rPr>
        <w:tab/>
      </w:r>
    </w:p>
    <w:p w:rsidR="00714251" w:rsidRPr="00A84655" w:rsidRDefault="00714251" w:rsidP="00FF7490">
      <w:pPr>
        <w:tabs>
          <w:tab w:val="left" w:pos="4600"/>
        </w:tabs>
        <w:rPr>
          <w:rStyle w:val="Helvetica"/>
          <w:b/>
          <w:i/>
          <w:spacing w:val="-2"/>
          <w:highlight w:val="yellow"/>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8630"/>
      </w:tblGrid>
      <w:tr w:rsidR="00340E9B" w:rsidRPr="00D152DF" w:rsidTr="00AC0F7E">
        <w:trPr>
          <w:trHeight w:val="162"/>
        </w:trPr>
        <w:tc>
          <w:tcPr>
            <w:tcW w:w="10780" w:type="dxa"/>
            <w:gridSpan w:val="2"/>
            <w:tcBorders>
              <w:top w:val="single" w:sz="8" w:space="0" w:color="auto"/>
              <w:left w:val="single" w:sz="8" w:space="0" w:color="auto"/>
              <w:bottom w:val="single" w:sz="8" w:space="0" w:color="auto"/>
              <w:right w:val="single" w:sz="8" w:space="0" w:color="auto"/>
            </w:tcBorders>
            <w:shd w:val="clear" w:color="auto" w:fill="B8CCE4"/>
          </w:tcPr>
          <w:p w:rsidR="00340E9B" w:rsidRPr="00D744BF" w:rsidRDefault="0028109E" w:rsidP="002E7FCA">
            <w:pPr>
              <w:rPr>
                <w:b/>
                <w:sz w:val="22"/>
                <w:szCs w:val="28"/>
              </w:rPr>
            </w:pPr>
            <w:r>
              <w:rPr>
                <w:b/>
                <w:sz w:val="22"/>
                <w:szCs w:val="28"/>
              </w:rPr>
              <w:t>Sole Source/Inadequate Competition</w:t>
            </w:r>
          </w:p>
        </w:tc>
      </w:tr>
      <w:tr w:rsidR="008D4A43" w:rsidRPr="0066312B" w:rsidTr="008D4A43">
        <w:tc>
          <w:tcPr>
            <w:tcW w:w="2150" w:type="dxa"/>
            <w:tcBorders>
              <w:top w:val="single" w:sz="8" w:space="0" w:color="auto"/>
              <w:left w:val="single" w:sz="8" w:space="0" w:color="auto"/>
              <w:bottom w:val="single" w:sz="8" w:space="0" w:color="auto"/>
              <w:right w:val="single" w:sz="8" w:space="0" w:color="auto"/>
            </w:tcBorders>
            <w:shd w:val="clear" w:color="auto" w:fill="auto"/>
          </w:tcPr>
          <w:p w:rsidR="008D4A43" w:rsidRPr="001470C1" w:rsidRDefault="008D4A43" w:rsidP="00340E9B">
            <w:pPr>
              <w:rPr>
                <w:sz w:val="20"/>
                <w:szCs w:val="20"/>
              </w:rPr>
            </w:pPr>
            <w:r>
              <w:rPr>
                <w:sz w:val="20"/>
                <w:szCs w:val="20"/>
              </w:rPr>
              <w:t>Vendor</w:t>
            </w:r>
            <w:r w:rsidRPr="001470C1">
              <w:rPr>
                <w:sz w:val="20"/>
                <w:szCs w:val="20"/>
              </w:rPr>
              <w:t>:</w:t>
            </w:r>
          </w:p>
        </w:tc>
        <w:tc>
          <w:tcPr>
            <w:tcW w:w="8630" w:type="dxa"/>
            <w:tcBorders>
              <w:top w:val="single" w:sz="8" w:space="0" w:color="auto"/>
              <w:left w:val="single" w:sz="8" w:space="0" w:color="auto"/>
              <w:bottom w:val="single" w:sz="8" w:space="0" w:color="auto"/>
              <w:right w:val="single" w:sz="8" w:space="0" w:color="auto"/>
            </w:tcBorders>
            <w:shd w:val="clear" w:color="auto" w:fill="auto"/>
          </w:tcPr>
          <w:p w:rsidR="008D4A43" w:rsidRPr="001470C1" w:rsidRDefault="008D4A43" w:rsidP="00340E9B">
            <w:pPr>
              <w:rPr>
                <w:sz w:val="20"/>
                <w:szCs w:val="20"/>
              </w:rPr>
            </w:pPr>
          </w:p>
        </w:tc>
      </w:tr>
      <w:tr w:rsidR="008D4A43" w:rsidRPr="0066312B" w:rsidTr="008D4A43">
        <w:tc>
          <w:tcPr>
            <w:tcW w:w="2150" w:type="dxa"/>
            <w:tcBorders>
              <w:top w:val="single" w:sz="8" w:space="0" w:color="auto"/>
              <w:left w:val="single" w:sz="8" w:space="0" w:color="auto"/>
              <w:bottom w:val="single" w:sz="8" w:space="0" w:color="auto"/>
              <w:right w:val="single" w:sz="8" w:space="0" w:color="auto"/>
            </w:tcBorders>
            <w:shd w:val="clear" w:color="auto" w:fill="auto"/>
          </w:tcPr>
          <w:p w:rsidR="008D4A43" w:rsidRDefault="008D4A43" w:rsidP="00340E9B">
            <w:pPr>
              <w:rPr>
                <w:sz w:val="20"/>
                <w:szCs w:val="20"/>
              </w:rPr>
            </w:pPr>
            <w:r>
              <w:rPr>
                <w:sz w:val="20"/>
                <w:szCs w:val="20"/>
              </w:rPr>
              <w:t>Purchase Amount:</w:t>
            </w:r>
          </w:p>
        </w:tc>
        <w:tc>
          <w:tcPr>
            <w:tcW w:w="8630" w:type="dxa"/>
            <w:tcBorders>
              <w:top w:val="single" w:sz="8" w:space="0" w:color="auto"/>
              <w:left w:val="single" w:sz="8" w:space="0" w:color="auto"/>
              <w:bottom w:val="single" w:sz="8" w:space="0" w:color="auto"/>
              <w:right w:val="single" w:sz="8" w:space="0" w:color="auto"/>
            </w:tcBorders>
            <w:shd w:val="clear" w:color="auto" w:fill="auto"/>
          </w:tcPr>
          <w:p w:rsidR="008D4A43" w:rsidRPr="001470C1" w:rsidRDefault="008D4A43" w:rsidP="00340E9B">
            <w:pPr>
              <w:rPr>
                <w:sz w:val="20"/>
                <w:szCs w:val="20"/>
              </w:rPr>
            </w:pPr>
          </w:p>
        </w:tc>
      </w:tr>
      <w:tr w:rsidR="00340E9B" w:rsidRPr="00D152DF" w:rsidTr="002E7FCA">
        <w:trPr>
          <w:trHeight w:val="418"/>
        </w:trPr>
        <w:tc>
          <w:tcPr>
            <w:tcW w:w="10780" w:type="dxa"/>
            <w:gridSpan w:val="2"/>
            <w:tcBorders>
              <w:top w:val="single" w:sz="8" w:space="0" w:color="auto"/>
              <w:left w:val="single" w:sz="8" w:space="0" w:color="auto"/>
              <w:bottom w:val="single" w:sz="8" w:space="0" w:color="auto"/>
              <w:right w:val="single" w:sz="8" w:space="0" w:color="auto"/>
            </w:tcBorders>
            <w:shd w:val="clear" w:color="auto" w:fill="auto"/>
          </w:tcPr>
          <w:p w:rsidR="00340E9B" w:rsidRPr="00D152DF" w:rsidRDefault="00340E9B" w:rsidP="00A84655">
            <w:r w:rsidRPr="00443181">
              <w:rPr>
                <w:b/>
                <w:sz w:val="22"/>
                <w:szCs w:val="22"/>
              </w:rPr>
              <w:t>Justification</w:t>
            </w:r>
            <w:r>
              <w:rPr>
                <w:b/>
                <w:sz w:val="22"/>
                <w:szCs w:val="22"/>
              </w:rPr>
              <w:t xml:space="preserve"> for Vendor Selection</w:t>
            </w:r>
            <w:r w:rsidR="00A84655">
              <w:rPr>
                <w:sz w:val="22"/>
                <w:szCs w:val="22"/>
              </w:rPr>
              <w:t xml:space="preserve"> – Provide justification for Vendor Selection in the below box.</w:t>
            </w:r>
            <w:r>
              <w:rPr>
                <w:sz w:val="22"/>
                <w:szCs w:val="22"/>
              </w:rPr>
              <w:t xml:space="preserve"> </w:t>
            </w:r>
            <w:r w:rsidRPr="002C2AA7">
              <w:rPr>
                <w:sz w:val="20"/>
                <w:szCs w:val="20"/>
              </w:rPr>
              <w:t>Please include any written supporting documents providing justification for vendor selection.</w:t>
            </w:r>
            <w:r w:rsidR="00A84655">
              <w:rPr>
                <w:sz w:val="20"/>
                <w:szCs w:val="20"/>
              </w:rPr>
              <w:t xml:space="preserve">  Explanations of exemptions </w:t>
            </w:r>
            <w:r w:rsidR="00A84655" w:rsidRPr="00A84655">
              <w:rPr>
                <w:sz w:val="20"/>
                <w:szCs w:val="20"/>
              </w:rPr>
              <w:t>must contain findings of fact. Evidence must be included</w:t>
            </w:r>
            <w:r w:rsidR="00574CE8">
              <w:rPr>
                <w:sz w:val="20"/>
                <w:szCs w:val="20"/>
              </w:rPr>
              <w:t xml:space="preserve">, consisting of material facts </w:t>
            </w:r>
            <w:r w:rsidR="00A84655" w:rsidRPr="00A84655">
              <w:rPr>
                <w:sz w:val="20"/>
                <w:szCs w:val="20"/>
              </w:rPr>
              <w:t>sufficient to independently determine that the findings of fact listed are true and accurate. Factual evidence may consist of written documents, records, supporting data, affidavits, or other information proving that the findings of fact are true and accurate. Itemized listings of findings of fact and material factual evidence should be included or attached.</w:t>
            </w:r>
          </w:p>
        </w:tc>
      </w:tr>
      <w:tr w:rsidR="00A84655" w:rsidRPr="00D152DF" w:rsidTr="002E7FCA">
        <w:trPr>
          <w:trHeight w:val="418"/>
        </w:trPr>
        <w:tc>
          <w:tcPr>
            <w:tcW w:w="10780" w:type="dxa"/>
            <w:gridSpan w:val="2"/>
            <w:tcBorders>
              <w:top w:val="single" w:sz="8" w:space="0" w:color="auto"/>
              <w:left w:val="single" w:sz="8" w:space="0" w:color="auto"/>
              <w:bottom w:val="single" w:sz="8" w:space="0" w:color="auto"/>
              <w:right w:val="single" w:sz="8" w:space="0" w:color="auto"/>
            </w:tcBorders>
            <w:shd w:val="clear" w:color="auto" w:fill="auto"/>
          </w:tcPr>
          <w:p w:rsidR="00A84655" w:rsidRDefault="00A84655" w:rsidP="00A84655">
            <w:pPr>
              <w:rPr>
                <w:b/>
                <w:sz w:val="22"/>
                <w:szCs w:val="22"/>
              </w:rPr>
            </w:pPr>
          </w:p>
          <w:p w:rsidR="00A84655" w:rsidRDefault="00A84655" w:rsidP="00A84655">
            <w:pPr>
              <w:rPr>
                <w:b/>
                <w:sz w:val="22"/>
                <w:szCs w:val="22"/>
              </w:rPr>
            </w:pPr>
          </w:p>
          <w:p w:rsidR="00A84655" w:rsidRPr="00443181" w:rsidRDefault="00A84655" w:rsidP="003A18CD">
            <w:pPr>
              <w:rPr>
                <w:b/>
                <w:sz w:val="22"/>
                <w:szCs w:val="22"/>
              </w:rPr>
            </w:pPr>
          </w:p>
        </w:tc>
      </w:tr>
      <w:tr w:rsidR="00A84655" w:rsidRPr="00D152DF" w:rsidTr="00A84655">
        <w:trPr>
          <w:trHeight w:val="277"/>
        </w:trPr>
        <w:tc>
          <w:tcPr>
            <w:tcW w:w="10780" w:type="dxa"/>
            <w:gridSpan w:val="2"/>
            <w:tcBorders>
              <w:top w:val="single" w:sz="8" w:space="0" w:color="auto"/>
              <w:left w:val="single" w:sz="8" w:space="0" w:color="auto"/>
              <w:bottom w:val="single" w:sz="8" w:space="0" w:color="auto"/>
              <w:right w:val="single" w:sz="8" w:space="0" w:color="auto"/>
            </w:tcBorders>
            <w:shd w:val="clear" w:color="auto" w:fill="auto"/>
          </w:tcPr>
          <w:p w:rsidR="00A84655" w:rsidRDefault="003161A9" w:rsidP="00A84655">
            <w:r>
              <w:rPr>
                <w:b/>
                <w:sz w:val="20"/>
                <w:szCs w:val="20"/>
              </w:rPr>
              <w:t>Send to DHS&amp;EM for approval prior to purchase</w:t>
            </w:r>
          </w:p>
        </w:tc>
      </w:tr>
    </w:tbl>
    <w:p w:rsidR="00340E9B" w:rsidRPr="003B41F0" w:rsidRDefault="00340E9B" w:rsidP="00340E9B">
      <w:pPr>
        <w:tabs>
          <w:tab w:val="left" w:pos="4140"/>
        </w:tabs>
        <w:rPr>
          <w:b/>
          <w:sz w:val="28"/>
          <w:szCs w:val="28"/>
        </w:rPr>
      </w:pPr>
      <w:r w:rsidRPr="003B41F0">
        <w:rPr>
          <w:b/>
          <w:sz w:val="28"/>
          <w:szCs w:val="28"/>
        </w:rPr>
        <w:t xml:space="preserve">System for Award Management (SAMS) report is required for </w:t>
      </w:r>
      <w:r w:rsidR="005C3742">
        <w:rPr>
          <w:b/>
          <w:sz w:val="28"/>
          <w:szCs w:val="28"/>
        </w:rPr>
        <w:t>selected vendor</w:t>
      </w:r>
    </w:p>
    <w:tbl>
      <w:tblPr>
        <w:tblpPr w:leftFromText="180" w:rightFromText="180" w:vertAnchor="text" w:horzAnchor="margin" w:tblpY="40"/>
        <w:tblW w:w="10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
        <w:gridCol w:w="10254"/>
      </w:tblGrid>
      <w:tr w:rsidR="00340E9B" w:rsidRPr="00FA1CFA" w:rsidTr="00823BD7">
        <w:tc>
          <w:tcPr>
            <w:tcW w:w="526" w:type="dxa"/>
            <w:shd w:val="clear" w:color="auto" w:fill="B8CCE4"/>
          </w:tcPr>
          <w:p w:rsidR="00340E9B" w:rsidRPr="0063497D" w:rsidRDefault="00340E9B" w:rsidP="00823BD7">
            <w:pPr>
              <w:rPr>
                <w:b/>
                <w:sz w:val="22"/>
                <w:szCs w:val="28"/>
              </w:rPr>
            </w:pPr>
          </w:p>
        </w:tc>
        <w:tc>
          <w:tcPr>
            <w:tcW w:w="10254" w:type="dxa"/>
            <w:shd w:val="clear" w:color="auto" w:fill="B8CCE4"/>
          </w:tcPr>
          <w:p w:rsidR="00340E9B" w:rsidRPr="00A84655" w:rsidRDefault="00E94ED3" w:rsidP="00823BD7">
            <w:pPr>
              <w:rPr>
                <w:b/>
                <w:sz w:val="20"/>
              </w:rPr>
            </w:pPr>
            <w:r>
              <w:rPr>
                <w:b/>
                <w:sz w:val="20"/>
              </w:rPr>
              <w:t>SAMS Report is a Mandatory Subr</w:t>
            </w:r>
            <w:r w:rsidR="00340E9B" w:rsidRPr="00A84655">
              <w:rPr>
                <w:b/>
                <w:sz w:val="20"/>
              </w:rPr>
              <w:t>ecipient Action</w:t>
            </w:r>
          </w:p>
        </w:tc>
      </w:tr>
      <w:tr w:rsidR="00340E9B" w:rsidRPr="00FA1CFA" w:rsidTr="00823BD7">
        <w:trPr>
          <w:trHeight w:val="790"/>
        </w:trPr>
        <w:tc>
          <w:tcPr>
            <w:tcW w:w="526" w:type="dxa"/>
            <w:shd w:val="clear" w:color="auto" w:fill="auto"/>
          </w:tcPr>
          <w:p w:rsidR="00340E9B" w:rsidRPr="0063497D" w:rsidRDefault="00340E9B" w:rsidP="00823BD7">
            <w:pPr>
              <w:rPr>
                <w:sz w:val="22"/>
                <w:szCs w:val="28"/>
              </w:rPr>
            </w:pPr>
            <w:r w:rsidRPr="0063497D">
              <w:rPr>
                <w:sz w:val="22"/>
                <w:szCs w:val="28"/>
              </w:rPr>
              <w:fldChar w:fldCharType="begin">
                <w:ffData>
                  <w:name w:val=""/>
                  <w:enabled/>
                  <w:calcOnExit w:val="0"/>
                  <w:checkBox>
                    <w:size w:val="20"/>
                    <w:default w:val="0"/>
                  </w:checkBox>
                </w:ffData>
              </w:fldChar>
            </w:r>
            <w:r w:rsidRPr="0063497D">
              <w:rPr>
                <w:sz w:val="22"/>
                <w:szCs w:val="28"/>
              </w:rPr>
              <w:instrText xml:space="preserve"> FORMCHECKBOX </w:instrText>
            </w:r>
            <w:r w:rsidR="006243DF">
              <w:rPr>
                <w:sz w:val="22"/>
                <w:szCs w:val="28"/>
              </w:rPr>
            </w:r>
            <w:r w:rsidR="006243DF">
              <w:rPr>
                <w:sz w:val="22"/>
                <w:szCs w:val="28"/>
              </w:rPr>
              <w:fldChar w:fldCharType="separate"/>
            </w:r>
            <w:r w:rsidRPr="0063497D">
              <w:rPr>
                <w:sz w:val="22"/>
                <w:szCs w:val="28"/>
              </w:rPr>
              <w:fldChar w:fldCharType="end"/>
            </w:r>
          </w:p>
          <w:p w:rsidR="00340E9B" w:rsidRPr="0063497D" w:rsidRDefault="00340E9B" w:rsidP="00823BD7">
            <w:pPr>
              <w:rPr>
                <w:sz w:val="22"/>
                <w:szCs w:val="28"/>
              </w:rPr>
            </w:pPr>
          </w:p>
          <w:p w:rsidR="00340E9B" w:rsidRPr="0063497D" w:rsidRDefault="00340E9B" w:rsidP="00823BD7">
            <w:pPr>
              <w:rPr>
                <w:sz w:val="22"/>
                <w:szCs w:val="28"/>
              </w:rPr>
            </w:pPr>
            <w:r w:rsidRPr="0063497D">
              <w:rPr>
                <w:sz w:val="22"/>
                <w:szCs w:val="28"/>
              </w:rPr>
              <w:fldChar w:fldCharType="begin">
                <w:ffData>
                  <w:name w:val=""/>
                  <w:enabled/>
                  <w:calcOnExit w:val="0"/>
                  <w:checkBox>
                    <w:size w:val="20"/>
                    <w:default w:val="0"/>
                  </w:checkBox>
                </w:ffData>
              </w:fldChar>
            </w:r>
            <w:r w:rsidRPr="0063497D">
              <w:rPr>
                <w:sz w:val="22"/>
                <w:szCs w:val="28"/>
              </w:rPr>
              <w:instrText xml:space="preserve"> FORMCHECKBOX </w:instrText>
            </w:r>
            <w:r w:rsidR="006243DF">
              <w:rPr>
                <w:sz w:val="22"/>
                <w:szCs w:val="28"/>
              </w:rPr>
            </w:r>
            <w:r w:rsidR="006243DF">
              <w:rPr>
                <w:sz w:val="22"/>
                <w:szCs w:val="28"/>
              </w:rPr>
              <w:fldChar w:fldCharType="separate"/>
            </w:r>
            <w:r w:rsidRPr="0063497D">
              <w:rPr>
                <w:sz w:val="22"/>
                <w:szCs w:val="28"/>
              </w:rPr>
              <w:fldChar w:fldCharType="end"/>
            </w:r>
          </w:p>
        </w:tc>
        <w:tc>
          <w:tcPr>
            <w:tcW w:w="10254" w:type="dxa"/>
            <w:shd w:val="clear" w:color="auto" w:fill="auto"/>
          </w:tcPr>
          <w:p w:rsidR="00340E9B" w:rsidRPr="00443181" w:rsidRDefault="00340E9B" w:rsidP="00823BD7">
            <w:pPr>
              <w:numPr>
                <w:ilvl w:val="0"/>
                <w:numId w:val="13"/>
              </w:numPr>
              <w:ind w:left="374"/>
              <w:rPr>
                <w:sz w:val="20"/>
                <w:szCs w:val="20"/>
              </w:rPr>
            </w:pPr>
            <w:r w:rsidRPr="00443181">
              <w:rPr>
                <w:sz w:val="20"/>
                <w:szCs w:val="20"/>
              </w:rPr>
              <w:t xml:space="preserve">Check System for Award </w:t>
            </w:r>
            <w:r>
              <w:rPr>
                <w:sz w:val="20"/>
                <w:szCs w:val="20"/>
              </w:rPr>
              <w:t>Management (SAM) for debarment/</w:t>
            </w:r>
            <w:r w:rsidRPr="00443181">
              <w:rPr>
                <w:sz w:val="20"/>
                <w:szCs w:val="20"/>
              </w:rPr>
              <w:t xml:space="preserve">suspension. </w:t>
            </w:r>
          </w:p>
          <w:p w:rsidR="00340E9B" w:rsidRPr="00443181" w:rsidRDefault="00340E9B" w:rsidP="00823BD7">
            <w:pPr>
              <w:ind w:left="374"/>
              <w:rPr>
                <w:sz w:val="20"/>
                <w:szCs w:val="20"/>
              </w:rPr>
            </w:pPr>
          </w:p>
          <w:p w:rsidR="00340E9B" w:rsidRPr="00443181" w:rsidRDefault="00340E9B" w:rsidP="00823BD7">
            <w:pPr>
              <w:numPr>
                <w:ilvl w:val="0"/>
                <w:numId w:val="13"/>
              </w:numPr>
              <w:ind w:left="374"/>
              <w:rPr>
                <w:sz w:val="20"/>
                <w:szCs w:val="20"/>
              </w:rPr>
            </w:pPr>
            <w:r w:rsidRPr="00443181">
              <w:rPr>
                <w:sz w:val="20"/>
                <w:szCs w:val="20"/>
              </w:rPr>
              <w:t xml:space="preserve">Print </w:t>
            </w:r>
            <w:r>
              <w:rPr>
                <w:sz w:val="20"/>
                <w:szCs w:val="20"/>
              </w:rPr>
              <w:t xml:space="preserve">SAMS report </w:t>
            </w:r>
            <w:r w:rsidRPr="00443181">
              <w:rPr>
                <w:sz w:val="20"/>
                <w:szCs w:val="20"/>
              </w:rPr>
              <w:t>page and attach to this form</w:t>
            </w:r>
            <w:r>
              <w:rPr>
                <w:sz w:val="20"/>
                <w:szCs w:val="20"/>
              </w:rPr>
              <w:t>.</w:t>
            </w:r>
          </w:p>
        </w:tc>
      </w:tr>
    </w:tbl>
    <w:p w:rsidR="00340E9B" w:rsidRPr="00DA154B" w:rsidRDefault="00340E9B" w:rsidP="00340E9B">
      <w:pPr>
        <w:rPr>
          <w:b/>
          <w:sz w:val="4"/>
          <w:szCs w:val="28"/>
        </w:rPr>
      </w:pPr>
    </w:p>
    <w:p w:rsidR="002E7FCA" w:rsidRPr="003C3C4B" w:rsidRDefault="002E7FCA" w:rsidP="002E7FCA">
      <w:pPr>
        <w:rPr>
          <w:b/>
          <w:sz w:val="28"/>
          <w:szCs w:val="28"/>
        </w:rPr>
      </w:pPr>
      <w:r>
        <w:rPr>
          <w:b/>
          <w:sz w:val="28"/>
          <w:szCs w:val="28"/>
        </w:rPr>
        <w:t>Certification</w:t>
      </w:r>
    </w:p>
    <w:p w:rsidR="002E7FCA" w:rsidRPr="009F5FDE" w:rsidRDefault="002E7FCA" w:rsidP="002E7FCA">
      <w:pPr>
        <w:ind w:left="720" w:right="540"/>
        <w:rPr>
          <w:sz w:val="6"/>
        </w:rPr>
      </w:pPr>
    </w:p>
    <w:p w:rsidR="002E7FCA" w:rsidRPr="009E40BD" w:rsidRDefault="002E7FCA" w:rsidP="002E7FCA">
      <w:pPr>
        <w:ind w:right="90"/>
        <w:rPr>
          <w:sz w:val="20"/>
          <w:szCs w:val="20"/>
        </w:rPr>
      </w:pPr>
      <w:r w:rsidRPr="009E40BD">
        <w:rPr>
          <w:sz w:val="20"/>
          <w:szCs w:val="20"/>
        </w:rPr>
        <w:t xml:space="preserve">I certify the above information </w:t>
      </w:r>
      <w:r>
        <w:rPr>
          <w:sz w:val="20"/>
          <w:szCs w:val="20"/>
        </w:rPr>
        <w:t>is true and accurate. D</w:t>
      </w:r>
      <w:r w:rsidRPr="009E40BD">
        <w:rPr>
          <w:sz w:val="20"/>
          <w:szCs w:val="20"/>
        </w:rPr>
        <w:t>ocument</w:t>
      </w:r>
      <w:r>
        <w:rPr>
          <w:sz w:val="20"/>
          <w:szCs w:val="20"/>
        </w:rPr>
        <w:t xml:space="preserve">s </w:t>
      </w:r>
      <w:r w:rsidRPr="009E40BD">
        <w:rPr>
          <w:sz w:val="20"/>
          <w:szCs w:val="20"/>
        </w:rPr>
        <w:t xml:space="preserve">related to this procurement </w:t>
      </w:r>
      <w:r>
        <w:rPr>
          <w:sz w:val="20"/>
          <w:szCs w:val="20"/>
        </w:rPr>
        <w:t xml:space="preserve">are </w:t>
      </w:r>
      <w:r w:rsidRPr="009E40BD">
        <w:rPr>
          <w:sz w:val="20"/>
          <w:szCs w:val="20"/>
        </w:rPr>
        <w:t>on file and available upon request.</w:t>
      </w:r>
    </w:p>
    <w:p w:rsidR="002E7FCA" w:rsidRPr="009E40BD" w:rsidRDefault="002E7FCA" w:rsidP="002E7FCA">
      <w:pPr>
        <w:rPr>
          <w:sz w:val="20"/>
          <w:szCs w:val="20"/>
        </w:rPr>
      </w:pPr>
    </w:p>
    <w:p w:rsidR="00914E92" w:rsidRPr="009E40BD" w:rsidRDefault="00914E92" w:rsidP="00914E92">
      <w:pPr>
        <w:rPr>
          <w:sz w:val="20"/>
          <w:szCs w:val="20"/>
        </w:rPr>
      </w:pPr>
      <w:r w:rsidRPr="009E40BD">
        <w:rPr>
          <w:sz w:val="20"/>
          <w:szCs w:val="20"/>
        </w:rPr>
        <w:t>___________________________________</w:t>
      </w:r>
      <w:r w:rsidRPr="009E40BD">
        <w:rPr>
          <w:sz w:val="20"/>
          <w:szCs w:val="20"/>
        </w:rPr>
        <w:tab/>
      </w:r>
      <w:r w:rsidRPr="009E40BD">
        <w:rPr>
          <w:sz w:val="20"/>
          <w:szCs w:val="20"/>
        </w:rPr>
        <w:tab/>
        <w:t xml:space="preserve">            ______________________________</w:t>
      </w:r>
    </w:p>
    <w:p w:rsidR="00914E92" w:rsidRPr="009E40BD" w:rsidRDefault="00914E92" w:rsidP="00914E92">
      <w:pPr>
        <w:rPr>
          <w:sz w:val="20"/>
          <w:szCs w:val="20"/>
        </w:rPr>
      </w:pPr>
      <w:r>
        <w:rPr>
          <w:sz w:val="20"/>
          <w:szCs w:val="20"/>
        </w:rPr>
        <w:t xml:space="preserve">Subrecipient </w:t>
      </w:r>
      <w:r w:rsidRPr="009E40BD">
        <w:rPr>
          <w:sz w:val="20"/>
          <w:szCs w:val="20"/>
        </w:rPr>
        <w:t>Project Manager’s</w:t>
      </w:r>
      <w:r>
        <w:rPr>
          <w:sz w:val="20"/>
          <w:szCs w:val="20"/>
        </w:rPr>
        <w:t xml:space="preserve"> Signature</w:t>
      </w:r>
      <w:r>
        <w:rPr>
          <w:sz w:val="20"/>
          <w:szCs w:val="20"/>
        </w:rPr>
        <w:tab/>
      </w:r>
      <w:r>
        <w:rPr>
          <w:sz w:val="20"/>
          <w:szCs w:val="20"/>
        </w:rPr>
        <w:tab/>
      </w:r>
      <w:r>
        <w:rPr>
          <w:sz w:val="20"/>
          <w:szCs w:val="20"/>
        </w:rPr>
        <w:tab/>
      </w:r>
      <w:r w:rsidRPr="009E40BD">
        <w:rPr>
          <w:sz w:val="20"/>
          <w:szCs w:val="20"/>
        </w:rPr>
        <w:t>Date</w:t>
      </w:r>
    </w:p>
    <w:p w:rsidR="00914E92" w:rsidRPr="009E40BD" w:rsidRDefault="00914E92" w:rsidP="00914E92">
      <w:pPr>
        <w:rPr>
          <w:sz w:val="20"/>
          <w:szCs w:val="20"/>
        </w:rPr>
      </w:pPr>
    </w:p>
    <w:p w:rsidR="00914E92" w:rsidRDefault="00914E92" w:rsidP="00914E92">
      <w:pPr>
        <w:rPr>
          <w:sz w:val="20"/>
          <w:szCs w:val="20"/>
        </w:rPr>
      </w:pPr>
      <w:r w:rsidRPr="009E40BD">
        <w:rPr>
          <w:sz w:val="20"/>
          <w:szCs w:val="20"/>
        </w:rPr>
        <w:t>___________________________</w:t>
      </w:r>
      <w:r>
        <w:rPr>
          <w:sz w:val="20"/>
          <w:szCs w:val="20"/>
        </w:rPr>
        <w:t>_________________________________________________</w:t>
      </w:r>
      <w:r w:rsidRPr="009E40BD">
        <w:rPr>
          <w:sz w:val="20"/>
          <w:szCs w:val="20"/>
        </w:rPr>
        <w:t>___</w:t>
      </w:r>
    </w:p>
    <w:p w:rsidR="00914E92" w:rsidRDefault="00914E92" w:rsidP="00914E92">
      <w:pPr>
        <w:rPr>
          <w:sz w:val="20"/>
          <w:szCs w:val="20"/>
        </w:rPr>
      </w:pPr>
      <w:r w:rsidRPr="009E40BD">
        <w:rPr>
          <w:sz w:val="20"/>
          <w:szCs w:val="20"/>
        </w:rPr>
        <w:t>Printed Name and Title</w:t>
      </w:r>
      <w:r w:rsidRPr="009E40BD">
        <w:rPr>
          <w:sz w:val="20"/>
          <w:szCs w:val="20"/>
        </w:rPr>
        <w:tab/>
      </w:r>
    </w:p>
    <w:p w:rsidR="002E7FCA" w:rsidRDefault="002E7FCA" w:rsidP="00FF7490">
      <w:pPr>
        <w:tabs>
          <w:tab w:val="left" w:pos="4600"/>
        </w:tabs>
        <w:rPr>
          <w:rStyle w:val="Helvetica"/>
          <w:b/>
          <w:i/>
          <w:spacing w:val="-2"/>
          <w:sz w:val="20"/>
          <w:highlight w:val="yellow"/>
        </w:rPr>
      </w:pPr>
    </w:p>
    <w:p w:rsidR="00897852" w:rsidRPr="00897852" w:rsidRDefault="00897852" w:rsidP="00FF7490">
      <w:pPr>
        <w:tabs>
          <w:tab w:val="left" w:pos="4600"/>
        </w:tabs>
        <w:rPr>
          <w:rStyle w:val="Helvetica"/>
          <w:b/>
          <w:i/>
          <w:spacing w:val="-2"/>
          <w:sz w:val="20"/>
        </w:rPr>
      </w:pPr>
      <w:r w:rsidRPr="00897852">
        <w:rPr>
          <w:rStyle w:val="Helvetica"/>
          <w:b/>
          <w:i/>
          <w:spacing w:val="-2"/>
          <w:sz w:val="20"/>
        </w:rPr>
        <w:t>E-mail signed form to mva.grants@alaska.gov</w:t>
      </w:r>
    </w:p>
    <w:tbl>
      <w:tblPr>
        <w:tblW w:w="10799" w:type="dxa"/>
        <w:tblInd w:w="-8" w:type="dxa"/>
        <w:tblLayout w:type="fixed"/>
        <w:tblCellMar>
          <w:left w:w="120" w:type="dxa"/>
          <w:right w:w="120" w:type="dxa"/>
        </w:tblCellMar>
        <w:tblLook w:val="0000" w:firstRow="0" w:lastRow="0" w:firstColumn="0" w:lastColumn="0" w:noHBand="0" w:noVBand="0"/>
      </w:tblPr>
      <w:tblGrid>
        <w:gridCol w:w="5169"/>
        <w:gridCol w:w="3714"/>
        <w:gridCol w:w="1916"/>
      </w:tblGrid>
      <w:tr w:rsidR="00A84655" w:rsidRPr="001470C1" w:rsidTr="00823BD7">
        <w:trPr>
          <w:trHeight w:hRule="exact" w:val="258"/>
        </w:trPr>
        <w:tc>
          <w:tcPr>
            <w:tcW w:w="10799" w:type="dxa"/>
            <w:gridSpan w:val="3"/>
            <w:tcBorders>
              <w:top w:val="single" w:sz="6" w:space="0" w:color="auto"/>
              <w:left w:val="single" w:sz="6" w:space="0" w:color="auto"/>
              <w:right w:val="single" w:sz="6" w:space="0" w:color="auto"/>
            </w:tcBorders>
            <w:shd w:val="clear" w:color="auto" w:fill="E6E6E6"/>
          </w:tcPr>
          <w:p w:rsidR="00A84655" w:rsidRPr="001470C1" w:rsidRDefault="00A84655" w:rsidP="00823BD7">
            <w:pPr>
              <w:tabs>
                <w:tab w:val="center" w:pos="5280"/>
              </w:tabs>
              <w:suppressAutoHyphens/>
              <w:spacing w:before="4" w:after="54"/>
              <w:rPr>
                <w:spacing w:val="-2"/>
                <w:sz w:val="20"/>
                <w:szCs w:val="20"/>
              </w:rPr>
            </w:pPr>
            <w:r w:rsidRPr="001470C1">
              <w:rPr>
                <w:b/>
                <w:spacing w:val="-2"/>
                <w:sz w:val="20"/>
                <w:szCs w:val="20"/>
              </w:rPr>
              <w:tab/>
              <w:t>DIVISION OF HOMELAND SECURITY AND EMERGENCY MANAGEMENT</w:t>
            </w:r>
          </w:p>
        </w:tc>
      </w:tr>
      <w:tr w:rsidR="00A84655" w:rsidRPr="001470C1" w:rsidTr="00823BD7">
        <w:trPr>
          <w:trHeight w:val="432"/>
        </w:trPr>
        <w:tc>
          <w:tcPr>
            <w:tcW w:w="5169" w:type="dxa"/>
            <w:tcBorders>
              <w:left w:val="single" w:sz="6" w:space="0" w:color="auto"/>
              <w:bottom w:val="single" w:sz="6" w:space="0" w:color="auto"/>
            </w:tcBorders>
            <w:shd w:val="clear" w:color="auto" w:fill="E6E6E6"/>
            <w:vAlign w:val="center"/>
          </w:tcPr>
          <w:p w:rsidR="00A84655" w:rsidRPr="001470C1" w:rsidRDefault="00A84655" w:rsidP="00823BD7">
            <w:pPr>
              <w:tabs>
                <w:tab w:val="left" w:pos="-720"/>
                <w:tab w:val="left" w:pos="0"/>
                <w:tab w:val="left" w:pos="389"/>
                <w:tab w:val="left" w:pos="573"/>
                <w:tab w:val="left" w:pos="2163"/>
                <w:tab w:val="left" w:pos="2481"/>
                <w:tab w:val="left" w:pos="4176"/>
                <w:tab w:val="left" w:pos="4320"/>
              </w:tabs>
              <w:suppressAutoHyphens/>
              <w:spacing w:after="54"/>
              <w:rPr>
                <w:spacing w:val="-2"/>
                <w:sz w:val="20"/>
                <w:szCs w:val="20"/>
              </w:rPr>
            </w:pPr>
            <w:r w:rsidRPr="001470C1">
              <w:rPr>
                <w:spacing w:val="-2"/>
                <w:sz w:val="20"/>
                <w:szCs w:val="20"/>
              </w:rPr>
              <w:fldChar w:fldCharType="begin">
                <w:ffData>
                  <w:name w:val="Check5"/>
                  <w:enabled/>
                  <w:calcOnExit w:val="0"/>
                  <w:checkBox>
                    <w:sizeAuto/>
                    <w:default w:val="0"/>
                  </w:checkBox>
                </w:ffData>
              </w:fldChar>
            </w:r>
            <w:bookmarkStart w:id="1" w:name="Check5"/>
            <w:r w:rsidRPr="001470C1">
              <w:rPr>
                <w:spacing w:val="-2"/>
                <w:sz w:val="20"/>
                <w:szCs w:val="20"/>
              </w:rPr>
              <w:instrText xml:space="preserve"> FORMCHECKBOX </w:instrText>
            </w:r>
            <w:r w:rsidR="006243DF">
              <w:rPr>
                <w:spacing w:val="-2"/>
                <w:sz w:val="20"/>
                <w:szCs w:val="20"/>
              </w:rPr>
            </w:r>
            <w:r w:rsidR="006243DF">
              <w:rPr>
                <w:spacing w:val="-2"/>
                <w:sz w:val="20"/>
                <w:szCs w:val="20"/>
              </w:rPr>
              <w:fldChar w:fldCharType="separate"/>
            </w:r>
            <w:r w:rsidRPr="001470C1">
              <w:rPr>
                <w:spacing w:val="-2"/>
                <w:sz w:val="20"/>
                <w:szCs w:val="20"/>
              </w:rPr>
              <w:fldChar w:fldCharType="end"/>
            </w:r>
            <w:bookmarkEnd w:id="1"/>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Approved</w:t>
            </w:r>
            <w:r w:rsidRPr="001470C1">
              <w:rPr>
                <w:spacing w:val="-2"/>
                <w:sz w:val="20"/>
                <w:szCs w:val="20"/>
              </w:rPr>
              <w:tab/>
            </w:r>
            <w:r w:rsidRPr="001470C1">
              <w:rPr>
                <w:spacing w:val="-2"/>
                <w:sz w:val="20"/>
                <w:szCs w:val="20"/>
              </w:rPr>
              <w:fldChar w:fldCharType="begin">
                <w:ffData>
                  <w:name w:val="Check6"/>
                  <w:enabled/>
                  <w:calcOnExit w:val="0"/>
                  <w:checkBox>
                    <w:sizeAuto/>
                    <w:default w:val="0"/>
                  </w:checkBox>
                </w:ffData>
              </w:fldChar>
            </w:r>
            <w:bookmarkStart w:id="2" w:name="Check6"/>
            <w:r w:rsidRPr="001470C1">
              <w:rPr>
                <w:spacing w:val="-2"/>
                <w:sz w:val="20"/>
                <w:szCs w:val="20"/>
              </w:rPr>
              <w:instrText xml:space="preserve"> FORMCHECKBOX </w:instrText>
            </w:r>
            <w:r w:rsidR="006243DF">
              <w:rPr>
                <w:spacing w:val="-2"/>
                <w:sz w:val="20"/>
                <w:szCs w:val="20"/>
              </w:rPr>
            </w:r>
            <w:r w:rsidR="006243DF">
              <w:rPr>
                <w:spacing w:val="-2"/>
                <w:sz w:val="20"/>
                <w:szCs w:val="20"/>
              </w:rPr>
              <w:fldChar w:fldCharType="separate"/>
            </w:r>
            <w:r w:rsidRPr="001470C1">
              <w:rPr>
                <w:spacing w:val="-2"/>
                <w:sz w:val="20"/>
                <w:szCs w:val="20"/>
              </w:rPr>
              <w:fldChar w:fldCharType="end"/>
            </w:r>
            <w:bookmarkEnd w:id="2"/>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Disapproved</w:t>
            </w:r>
            <w:r w:rsidRPr="001470C1">
              <w:rPr>
                <w:spacing w:val="-2"/>
                <w:sz w:val="20"/>
                <w:szCs w:val="20"/>
              </w:rPr>
              <w:tab/>
            </w:r>
          </w:p>
        </w:tc>
        <w:tc>
          <w:tcPr>
            <w:tcW w:w="5630" w:type="dxa"/>
            <w:gridSpan w:val="2"/>
            <w:tcBorders>
              <w:left w:val="single" w:sz="6" w:space="0" w:color="auto"/>
              <w:bottom w:val="single" w:sz="6" w:space="0" w:color="auto"/>
              <w:right w:val="single" w:sz="6" w:space="0" w:color="auto"/>
            </w:tcBorders>
            <w:shd w:val="clear" w:color="auto" w:fill="E6E6E6"/>
            <w:vAlign w:val="center"/>
          </w:tcPr>
          <w:p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rPr>
                <w:spacing w:val="-2"/>
                <w:sz w:val="20"/>
                <w:szCs w:val="20"/>
              </w:rPr>
            </w:pP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w:t>
            </w:r>
            <w:r w:rsidRPr="001470C1">
              <w:rPr>
                <w:spacing w:val="-2"/>
                <w:sz w:val="20"/>
                <w:szCs w:val="20"/>
              </w:rPr>
              <w:fldChar w:fldCharType="begin">
                <w:ffData>
                  <w:name w:val="Check7"/>
                  <w:enabled/>
                  <w:calcOnExit w:val="0"/>
                  <w:checkBox>
                    <w:sizeAuto/>
                    <w:default w:val="0"/>
                  </w:checkBox>
                </w:ffData>
              </w:fldChar>
            </w:r>
            <w:bookmarkStart w:id="3" w:name="Check7"/>
            <w:r w:rsidRPr="001470C1">
              <w:rPr>
                <w:spacing w:val="-2"/>
                <w:sz w:val="20"/>
                <w:szCs w:val="20"/>
              </w:rPr>
              <w:instrText xml:space="preserve"> FORMCHECKBOX </w:instrText>
            </w:r>
            <w:r w:rsidR="006243DF">
              <w:rPr>
                <w:spacing w:val="-2"/>
                <w:sz w:val="20"/>
                <w:szCs w:val="20"/>
              </w:rPr>
            </w:r>
            <w:r w:rsidR="006243DF">
              <w:rPr>
                <w:spacing w:val="-2"/>
                <w:sz w:val="20"/>
                <w:szCs w:val="20"/>
              </w:rPr>
              <w:fldChar w:fldCharType="separate"/>
            </w:r>
            <w:r w:rsidRPr="001470C1">
              <w:rPr>
                <w:spacing w:val="-2"/>
                <w:sz w:val="20"/>
                <w:szCs w:val="20"/>
              </w:rPr>
              <w:fldChar w:fldCharType="end"/>
            </w:r>
            <w:bookmarkEnd w:id="3"/>
            <w:r w:rsidRPr="001470C1">
              <w:rPr>
                <w:spacing w:val="-2"/>
                <w:sz w:val="20"/>
                <w:szCs w:val="20"/>
              </w:rPr>
              <w:t xml:space="preserve">  Returned for Further Justification            Date</w:t>
            </w:r>
          </w:p>
        </w:tc>
      </w:tr>
      <w:tr w:rsidR="00A84655" w:rsidRPr="001470C1" w:rsidTr="00823BD7">
        <w:tc>
          <w:tcPr>
            <w:tcW w:w="8883" w:type="dxa"/>
            <w:gridSpan w:val="2"/>
            <w:tcBorders>
              <w:top w:val="single" w:sz="6" w:space="0" w:color="auto"/>
              <w:left w:val="single" w:sz="6" w:space="0" w:color="auto"/>
            </w:tcBorders>
            <w:shd w:val="clear" w:color="auto" w:fill="E6E6E6"/>
          </w:tcPr>
          <w:p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SAA/GAR Point of Contact or Authorized Representative</w:t>
            </w:r>
          </w:p>
        </w:tc>
        <w:tc>
          <w:tcPr>
            <w:tcW w:w="1916" w:type="dxa"/>
            <w:tcBorders>
              <w:top w:val="single" w:sz="6" w:space="0" w:color="auto"/>
              <w:left w:val="single" w:sz="6" w:space="0" w:color="auto"/>
              <w:right w:val="single" w:sz="6" w:space="0" w:color="auto"/>
            </w:tcBorders>
            <w:shd w:val="clear" w:color="auto" w:fill="E6E6E6"/>
          </w:tcPr>
          <w:p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Date</w:t>
            </w:r>
          </w:p>
        </w:tc>
      </w:tr>
      <w:tr w:rsidR="00A84655" w:rsidRPr="001470C1" w:rsidTr="00F80FB8">
        <w:trPr>
          <w:trHeight w:hRule="exact" w:val="243"/>
        </w:trPr>
        <w:tc>
          <w:tcPr>
            <w:tcW w:w="8883" w:type="dxa"/>
            <w:gridSpan w:val="2"/>
            <w:tcBorders>
              <w:left w:val="single" w:sz="6" w:space="0" w:color="auto"/>
              <w:bottom w:val="single" w:sz="6" w:space="0" w:color="auto"/>
            </w:tcBorders>
            <w:shd w:val="clear" w:color="auto" w:fill="E6E6E6"/>
          </w:tcPr>
          <w:p w:rsidR="00A84655" w:rsidRPr="001470C1" w:rsidRDefault="00A84655" w:rsidP="00823BD7">
            <w:pPr>
              <w:tabs>
                <w:tab w:val="right" w:pos="8642"/>
              </w:tabs>
              <w:suppressAutoHyphens/>
              <w:spacing w:before="4" w:after="54"/>
              <w:rPr>
                <w:spacing w:val="-2"/>
                <w:sz w:val="20"/>
                <w:szCs w:val="20"/>
              </w:rPr>
            </w:pPr>
            <w:r w:rsidRPr="001470C1">
              <w:rPr>
                <w:spacing w:val="-2"/>
                <w:sz w:val="20"/>
                <w:szCs w:val="20"/>
              </w:rPr>
              <w:t xml:space="preserve">                                                                                                                                             </w:t>
            </w:r>
            <w:r w:rsidRPr="001470C1">
              <w:rPr>
                <w:spacing w:val="-2"/>
                <w:sz w:val="20"/>
                <w:szCs w:val="20"/>
              </w:rPr>
              <w:tab/>
            </w:r>
          </w:p>
        </w:tc>
        <w:tc>
          <w:tcPr>
            <w:tcW w:w="1916" w:type="dxa"/>
            <w:tcBorders>
              <w:left w:val="single" w:sz="6" w:space="0" w:color="auto"/>
              <w:bottom w:val="single" w:sz="6" w:space="0" w:color="auto"/>
              <w:right w:val="single" w:sz="6" w:space="0" w:color="auto"/>
            </w:tcBorders>
            <w:shd w:val="clear" w:color="auto" w:fill="E6E6E6"/>
          </w:tcPr>
          <w:p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 xml:space="preserve">                       </w:t>
            </w:r>
          </w:p>
        </w:tc>
      </w:tr>
    </w:tbl>
    <w:p w:rsidR="00EF1BE1" w:rsidRDefault="00EF1BE1">
      <w:pPr>
        <w:rPr>
          <w:sz w:val="2"/>
        </w:rPr>
      </w:pPr>
    </w:p>
    <w:p w:rsidR="00EF1BE1" w:rsidRDefault="00EF1BE1">
      <w:pPr>
        <w:rPr>
          <w:sz w:val="2"/>
        </w:rPr>
      </w:pPr>
    </w:p>
    <w:p w:rsidR="00EF1BE1" w:rsidRDefault="00EF1BE1">
      <w:pPr>
        <w:rPr>
          <w:sz w:val="2"/>
        </w:rPr>
      </w:pPr>
    </w:p>
    <w:p w:rsidR="00052C52" w:rsidRDefault="00052C52" w:rsidP="00D24CD8">
      <w:pPr>
        <w:rPr>
          <w:b/>
          <w:sz w:val="22"/>
        </w:rPr>
        <w:sectPr w:rsidR="00052C52" w:rsidSect="00F80FB8">
          <w:headerReference w:type="default" r:id="rId8"/>
          <w:footerReference w:type="default" r:id="rId9"/>
          <w:pgSz w:w="12240" w:h="15840" w:code="1"/>
          <w:pgMar w:top="-540" w:right="720" w:bottom="432" w:left="720" w:header="720" w:footer="270" w:gutter="0"/>
          <w:cols w:space="720"/>
          <w:docGrid w:linePitch="360"/>
        </w:sect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F80FB8" w:rsidRPr="0063497D" w:rsidTr="00FE4C8D">
        <w:tc>
          <w:tcPr>
            <w:tcW w:w="10520" w:type="dxa"/>
            <w:tcBorders>
              <w:top w:val="single" w:sz="8" w:space="0" w:color="auto"/>
              <w:left w:val="single" w:sz="8" w:space="0" w:color="auto"/>
              <w:bottom w:val="single" w:sz="8" w:space="0" w:color="auto"/>
              <w:right w:val="single" w:sz="8" w:space="0" w:color="auto"/>
            </w:tcBorders>
            <w:shd w:val="clear" w:color="auto" w:fill="B8CCE4"/>
          </w:tcPr>
          <w:p w:rsidR="00F80FB8" w:rsidRPr="00574CE8" w:rsidRDefault="00F80FB8" w:rsidP="00FE4C8D">
            <w:pPr>
              <w:rPr>
                <w:color w:val="000000"/>
                <w:sz w:val="16"/>
                <w:szCs w:val="22"/>
              </w:rPr>
            </w:pPr>
            <w:r w:rsidRPr="00574CE8">
              <w:rPr>
                <w:b/>
                <w:sz w:val="22"/>
              </w:rPr>
              <w:lastRenderedPageBreak/>
              <w:t>Single Source or Non-Competitive Evidence Guide</w:t>
            </w:r>
          </w:p>
        </w:tc>
      </w:tr>
      <w:tr w:rsidR="00F80FB8" w:rsidRPr="00443181" w:rsidTr="00FE4C8D">
        <w:tc>
          <w:tcPr>
            <w:tcW w:w="10520" w:type="dxa"/>
            <w:tcBorders>
              <w:top w:val="single" w:sz="8" w:space="0" w:color="auto"/>
              <w:left w:val="single" w:sz="8" w:space="0" w:color="auto"/>
              <w:bottom w:val="single" w:sz="8" w:space="0" w:color="auto"/>
              <w:right w:val="single" w:sz="8" w:space="0" w:color="auto"/>
            </w:tcBorders>
            <w:shd w:val="clear" w:color="auto" w:fill="auto"/>
          </w:tcPr>
          <w:p w:rsidR="00F80FB8" w:rsidRPr="0047600C" w:rsidRDefault="00F80FB8" w:rsidP="00FE4C8D">
            <w:pPr>
              <w:autoSpaceDE w:val="0"/>
              <w:autoSpaceDN w:val="0"/>
              <w:adjustRightInd w:val="0"/>
              <w:rPr>
                <w:rFonts w:ascii="Calibri Light" w:hAnsi="Calibri Light" w:cs="Calibri Light"/>
                <w:color w:val="000000"/>
                <w:sz w:val="22"/>
                <w:szCs w:val="22"/>
              </w:rPr>
            </w:pPr>
          </w:p>
          <w:p w:rsidR="00F80FB8" w:rsidRPr="0047600C" w:rsidRDefault="00F80FB8" w:rsidP="00FE4C8D">
            <w:pPr>
              <w:autoSpaceDE w:val="0"/>
              <w:autoSpaceDN w:val="0"/>
              <w:adjustRightInd w:val="0"/>
              <w:rPr>
                <w:rFonts w:ascii="Calibri" w:hAnsi="Calibri" w:cs="Calibri"/>
                <w:color w:val="000000"/>
                <w:sz w:val="18"/>
                <w:szCs w:val="18"/>
              </w:rPr>
            </w:pPr>
            <w:r w:rsidRPr="0047600C">
              <w:rPr>
                <w:rFonts w:ascii="Calibri Light" w:hAnsi="Calibri Light" w:cs="Calibri Light"/>
                <w:color w:val="000000"/>
                <w:sz w:val="18"/>
                <w:szCs w:val="18"/>
              </w:rPr>
              <w:t xml:space="preserve">• </w:t>
            </w:r>
            <w:r w:rsidRPr="0047600C">
              <w:rPr>
                <w:rFonts w:ascii="Calibri" w:hAnsi="Calibri" w:cs="Calibri"/>
                <w:color w:val="000000"/>
                <w:sz w:val="18"/>
                <w:szCs w:val="18"/>
              </w:rPr>
              <w:t xml:space="preserve">Single source requests must be submitted with </w:t>
            </w:r>
            <w:r w:rsidRPr="0047600C">
              <w:rPr>
                <w:rFonts w:ascii="Calibri" w:hAnsi="Calibri" w:cs="Calibri"/>
                <w:b/>
                <w:bCs/>
                <w:color w:val="000000"/>
                <w:sz w:val="18"/>
                <w:szCs w:val="18"/>
              </w:rPr>
              <w:t xml:space="preserve">written evidence to support the request. </w:t>
            </w:r>
            <w:r w:rsidRPr="0047600C">
              <w:rPr>
                <w:rFonts w:ascii="Calibri" w:hAnsi="Calibri" w:cs="Calibri"/>
                <w:color w:val="000000"/>
                <w:sz w:val="18"/>
                <w:szCs w:val="18"/>
              </w:rPr>
              <w:t xml:space="preserve">(AS 36.30.300(b)) </w:t>
            </w:r>
          </w:p>
          <w:p w:rsidR="00F80FB8" w:rsidRDefault="00F80FB8" w:rsidP="00FE4C8D">
            <w:pPr>
              <w:autoSpaceDE w:val="0"/>
              <w:autoSpaceDN w:val="0"/>
              <w:adjustRightInd w:val="0"/>
              <w:rPr>
                <w:rFonts w:ascii="Calibri" w:hAnsi="Calibri" w:cs="Calibri"/>
                <w:color w:val="000000"/>
                <w:sz w:val="18"/>
                <w:szCs w:val="18"/>
              </w:rPr>
            </w:pPr>
            <w:r w:rsidRPr="0047600C">
              <w:rPr>
                <w:rFonts w:ascii="Calibri" w:hAnsi="Calibri" w:cs="Calibri"/>
                <w:color w:val="000000"/>
                <w:sz w:val="18"/>
                <w:szCs w:val="18"/>
              </w:rPr>
              <w:t>• Per 2 AAC 12.410(a), the written evidence must support an independent examination and determination of the material facts of the procurement – meaning that anyone should be able to pick up the file, read it, and understand why the decision was made as it was - and must address why:</w:t>
            </w:r>
          </w:p>
          <w:p w:rsidR="00F80FB8" w:rsidRPr="0047600C" w:rsidRDefault="00F80FB8" w:rsidP="00FE4C8D">
            <w:pPr>
              <w:autoSpaceDE w:val="0"/>
              <w:autoSpaceDN w:val="0"/>
              <w:adjustRightInd w:val="0"/>
              <w:ind w:left="42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color w:val="000000"/>
                <w:sz w:val="18"/>
                <w:szCs w:val="18"/>
              </w:rPr>
              <w:t xml:space="preserve">It is not practical to award a contract using a more competitive method. (AS 36.30.300(a)(1)) </w:t>
            </w:r>
          </w:p>
          <w:p w:rsidR="00F80FB8" w:rsidRPr="0047600C" w:rsidRDefault="00F80FB8" w:rsidP="00FE4C8D">
            <w:pPr>
              <w:autoSpaceDE w:val="0"/>
              <w:autoSpaceDN w:val="0"/>
              <w:adjustRightInd w:val="0"/>
              <w:ind w:left="42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color w:val="000000"/>
                <w:sz w:val="18"/>
                <w:szCs w:val="18"/>
              </w:rPr>
              <w:t xml:space="preserve">Award of a single source contract is in the state’s best interest. (AS 36.30.300(a)(1)) </w:t>
            </w:r>
          </w:p>
          <w:p w:rsidR="00F80FB8" w:rsidRPr="0047600C" w:rsidRDefault="00F80FB8" w:rsidP="00FE4C8D">
            <w:pPr>
              <w:autoSpaceDE w:val="0"/>
              <w:autoSpaceDN w:val="0"/>
              <w:adjustRightInd w:val="0"/>
              <w:rPr>
                <w:rFonts w:ascii="Calibri" w:hAnsi="Calibri" w:cs="Calibri"/>
                <w:color w:val="000000"/>
                <w:sz w:val="18"/>
                <w:szCs w:val="18"/>
              </w:rPr>
            </w:pPr>
            <w:r w:rsidRPr="0047600C">
              <w:rPr>
                <w:rFonts w:ascii="Calibri" w:hAnsi="Calibri" w:cs="Calibri"/>
                <w:color w:val="000000"/>
                <w:sz w:val="18"/>
                <w:szCs w:val="18"/>
              </w:rPr>
              <w:t xml:space="preserve">• Examples of subject matter experts as used below could be a </w:t>
            </w:r>
            <w:r w:rsidRPr="0047600C">
              <w:rPr>
                <w:rFonts w:ascii="Calibri" w:hAnsi="Calibri" w:cs="Calibri"/>
                <w:b/>
                <w:bCs/>
                <w:color w:val="000000"/>
                <w:sz w:val="18"/>
                <w:szCs w:val="18"/>
              </w:rPr>
              <w:t>program manager/director, division director, IT manager, or other high-level support staff for the program/project</w:t>
            </w:r>
            <w:r w:rsidRPr="0047600C">
              <w:rPr>
                <w:rFonts w:ascii="Calibri" w:hAnsi="Calibri" w:cs="Calibri"/>
                <w:color w:val="000000"/>
                <w:sz w:val="18"/>
                <w:szCs w:val="18"/>
              </w:rPr>
              <w:t xml:space="preserve">. </w:t>
            </w:r>
          </w:p>
          <w:p w:rsidR="00F80FB8" w:rsidRPr="0047600C" w:rsidRDefault="00F80FB8" w:rsidP="00FE4C8D">
            <w:pPr>
              <w:autoSpaceDE w:val="0"/>
              <w:autoSpaceDN w:val="0"/>
              <w:adjustRightInd w:val="0"/>
              <w:rPr>
                <w:rFonts w:ascii="Calibri" w:hAnsi="Calibri" w:cs="Calibri"/>
                <w:color w:val="000000"/>
                <w:sz w:val="18"/>
                <w:szCs w:val="18"/>
              </w:rPr>
            </w:pPr>
            <w:r w:rsidRPr="0047600C">
              <w:rPr>
                <w:rFonts w:ascii="Calibri" w:hAnsi="Calibri" w:cs="Calibri"/>
                <w:color w:val="000000"/>
                <w:sz w:val="18"/>
                <w:szCs w:val="18"/>
              </w:rPr>
              <w:t xml:space="preserve">• Evidence requirements can and will vary from request to request and the below is not intended to be an all-inclusive list. </w:t>
            </w:r>
          </w:p>
          <w:p w:rsidR="00F80FB8" w:rsidRPr="0047600C" w:rsidRDefault="00F80FB8" w:rsidP="00FE4C8D">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4704"/>
              <w:gridCol w:w="5600"/>
            </w:tblGrid>
            <w:tr w:rsidR="00F80FB8" w:rsidRPr="0047600C" w:rsidTr="00FE4C8D">
              <w:trPr>
                <w:trHeight w:val="96"/>
              </w:trPr>
              <w:tc>
                <w:tcPr>
                  <w:tcW w:w="0" w:type="auto"/>
                  <w:gridSpan w:val="2"/>
                </w:tcPr>
                <w:p w:rsidR="00F80FB8" w:rsidRPr="0047600C" w:rsidRDefault="00F80FB8" w:rsidP="00116453">
                  <w:pPr>
                    <w:framePr w:hSpace="180" w:wrap="around" w:vAnchor="text" w:hAnchor="margin" w:y="135"/>
                    <w:autoSpaceDE w:val="0"/>
                    <w:autoSpaceDN w:val="0"/>
                    <w:adjustRightInd w:val="0"/>
                    <w:rPr>
                      <w:rFonts w:ascii="Calibri Light" w:hAnsi="Calibri Light" w:cs="Calibri Light"/>
                      <w:color w:val="000000"/>
                      <w:sz w:val="40"/>
                      <w:szCs w:val="40"/>
                    </w:rPr>
                  </w:pPr>
                  <w:r w:rsidRPr="0047600C">
                    <w:rPr>
                      <w:rFonts w:ascii="Calibri Light" w:hAnsi="Calibri Light" w:cs="Calibri Light"/>
                      <w:color w:val="FFFFFF"/>
                      <w:sz w:val="40"/>
                      <w:szCs w:val="40"/>
                    </w:rPr>
                    <w:t xml:space="preserve">Typical Evidence Required by Single Source RAP Type </w:t>
                  </w:r>
                </w:p>
              </w:tc>
            </w:tr>
            <w:tr w:rsidR="00F80FB8" w:rsidRPr="0047600C" w:rsidTr="00FE4C8D">
              <w:trPr>
                <w:trHeight w:val="140"/>
              </w:trPr>
              <w:tc>
                <w:tcPr>
                  <w:tcW w:w="0" w:type="auto"/>
                </w:tcPr>
                <w:p w:rsidR="00F80FB8" w:rsidRPr="0047600C" w:rsidRDefault="00F80FB8" w:rsidP="00116453">
                  <w:pPr>
                    <w:framePr w:hSpace="180" w:wrap="around" w:vAnchor="text" w:hAnchor="margin" w:y="135"/>
                    <w:autoSpaceDE w:val="0"/>
                    <w:autoSpaceDN w:val="0"/>
                    <w:adjustRightInd w:val="0"/>
                    <w:rPr>
                      <w:rFonts w:ascii="Calibri Light" w:hAnsi="Calibri Light" w:cs="Calibri Light"/>
                      <w:color w:val="000000"/>
                      <w:sz w:val="22"/>
                      <w:szCs w:val="22"/>
                    </w:rPr>
                  </w:pPr>
                  <w:r>
                    <w:rPr>
                      <w:rFonts w:ascii="Calibri" w:hAnsi="Calibri" w:cs="Calibri"/>
                      <w:b/>
                      <w:bCs/>
                      <w:color w:val="595959"/>
                      <w:sz w:val="22"/>
                      <w:szCs w:val="22"/>
                    </w:rPr>
                    <w:t>P</w:t>
                  </w:r>
                  <w:r w:rsidRPr="0047600C">
                    <w:rPr>
                      <w:rFonts w:ascii="Calibri" w:hAnsi="Calibri" w:cs="Calibri"/>
                      <w:b/>
                      <w:bCs/>
                      <w:color w:val="595959"/>
                      <w:sz w:val="22"/>
                      <w:szCs w:val="22"/>
                    </w:rPr>
                    <w:t xml:space="preserve">roprietary Product or Service </w:t>
                  </w:r>
                </w:p>
              </w:tc>
              <w:tc>
                <w:tcPr>
                  <w:tcW w:w="0" w:type="auto"/>
                </w:tcPr>
                <w:p w:rsidR="00F80FB8" w:rsidRPr="0047600C" w:rsidRDefault="00F80FB8" w:rsidP="00116453">
                  <w:pPr>
                    <w:framePr w:hSpace="180" w:wrap="around" w:vAnchor="text" w:hAnchor="margin" w:y="135"/>
                    <w:autoSpaceDE w:val="0"/>
                    <w:autoSpaceDN w:val="0"/>
                    <w:adjustRightInd w:val="0"/>
                    <w:rPr>
                      <w:rFonts w:ascii="Calibri" w:hAnsi="Calibri" w:cs="Calibri"/>
                      <w:color w:val="595959"/>
                      <w:sz w:val="22"/>
                      <w:szCs w:val="22"/>
                    </w:rPr>
                  </w:pPr>
                  <w:r w:rsidRPr="0047600C">
                    <w:rPr>
                      <w:rFonts w:ascii="Calibri" w:hAnsi="Calibri" w:cs="Calibri"/>
                      <w:b/>
                      <w:bCs/>
                      <w:color w:val="595959"/>
                      <w:sz w:val="22"/>
                      <w:szCs w:val="22"/>
                    </w:rPr>
                    <w:t xml:space="preserve">Unique Skill/Knowledge </w:t>
                  </w:r>
                </w:p>
              </w:tc>
            </w:tr>
            <w:tr w:rsidR="00F80FB8" w:rsidRPr="0047600C" w:rsidTr="00FE4C8D">
              <w:trPr>
                <w:trHeight w:val="102"/>
              </w:trPr>
              <w:tc>
                <w:tcPr>
                  <w:tcW w:w="0" w:type="auto"/>
                </w:tcPr>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Calibri" w:hAnsi="Calibri" w:cs="Calibri"/>
                      <w:b/>
                      <w:bCs/>
                      <w:i/>
                      <w:iCs/>
                      <w:color w:val="000000"/>
                      <w:sz w:val="16"/>
                      <w:szCs w:val="16"/>
                    </w:rPr>
                    <w:t xml:space="preserve">Least Complex </w:t>
                  </w:r>
                </w:p>
              </w:tc>
              <w:tc>
                <w:tcPr>
                  <w:tcW w:w="0" w:type="auto"/>
                </w:tcPr>
                <w:p w:rsidR="00F80FB8" w:rsidRPr="0047600C" w:rsidRDefault="00F80FB8" w:rsidP="00116453">
                  <w:pPr>
                    <w:framePr w:hSpace="180" w:wrap="around" w:vAnchor="text" w:hAnchor="margin" w:y="135"/>
                    <w:autoSpaceDE w:val="0"/>
                    <w:autoSpaceDN w:val="0"/>
                    <w:adjustRightInd w:val="0"/>
                    <w:rPr>
                      <w:rFonts w:ascii="Calibri" w:hAnsi="Calibri" w:cs="Calibri"/>
                      <w:color w:val="FFFFFF"/>
                      <w:sz w:val="16"/>
                      <w:szCs w:val="16"/>
                    </w:rPr>
                  </w:pPr>
                  <w:r w:rsidRPr="0047600C">
                    <w:rPr>
                      <w:rFonts w:ascii="Calibri" w:hAnsi="Calibri" w:cs="Calibri"/>
                      <w:b/>
                      <w:bCs/>
                      <w:i/>
                      <w:iCs/>
                      <w:color w:val="FFFFFF"/>
                      <w:sz w:val="16"/>
                      <w:szCs w:val="16"/>
                    </w:rPr>
                    <w:t xml:space="preserve">Most Complex </w:t>
                  </w:r>
                </w:p>
              </w:tc>
            </w:tr>
            <w:tr w:rsidR="00F80FB8" w:rsidRPr="0047600C" w:rsidTr="00FE4C8D">
              <w:trPr>
                <w:trHeight w:val="3294"/>
              </w:trPr>
              <w:tc>
                <w:tcPr>
                  <w:tcW w:w="0" w:type="auto"/>
                </w:tcPr>
                <w:p w:rsidR="00F80FB8" w:rsidRPr="0047600C" w:rsidRDefault="00F80FB8" w:rsidP="00116453">
                  <w:pPr>
                    <w:framePr w:hSpace="180" w:wrap="around" w:vAnchor="text" w:hAnchor="margin" w:y="135"/>
                    <w:autoSpaceDE w:val="0"/>
                    <w:autoSpaceDN w:val="0"/>
                    <w:adjustRightInd w:val="0"/>
                    <w:rPr>
                      <w:rFonts w:ascii="Calibri Light" w:hAnsi="Calibri Light"/>
                    </w:rPr>
                  </w:pP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Program Manager and/or subject matter expert(s) clearly describing: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Their name, title, and experience with the program and why this qualifies him/her to speak authoritatively on the matter.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the product or service is needed.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the proprietary product or service is the only one that will work for the program.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Quantified potential time and/or cost impacts if the product or service were not purchased, like: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Costs to transition to another product that outweigh any potential savings.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Investments made in the current product – training, specialized equipment, etc. – that would be lost.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Voiding existing equipment warranties or maintenance agreements.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Lack of compatibility.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using a competitive process is not practical.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vendor clearly describing: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They are the only source of the proprietary product or service.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They do not offer their product or service through dealers or resellers or, if they do, that the pricing through a dealer or reseller would be the same or higher.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Any documentation and/or records that support an existing agency standard.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Copies</w:t>
                  </w:r>
                  <w:r>
                    <w:rPr>
                      <w:rFonts w:ascii="Calibri" w:hAnsi="Calibri" w:cs="Calibri"/>
                      <w:color w:val="000000"/>
                      <w:sz w:val="20"/>
                      <w:szCs w:val="20"/>
                    </w:rPr>
                    <w:t xml:space="preserve"> of any previously approved documents</w:t>
                  </w:r>
                  <w:r w:rsidRPr="0047600C">
                    <w:rPr>
                      <w:rFonts w:ascii="Calibri" w:hAnsi="Calibri" w:cs="Calibri"/>
                      <w:color w:val="000000"/>
                      <w:sz w:val="20"/>
                      <w:szCs w:val="20"/>
                    </w:rPr>
                    <w:t xml:space="preserve"> directly related to the project.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p>
              </w:tc>
              <w:tc>
                <w:tcPr>
                  <w:tcW w:w="0" w:type="auto"/>
                </w:tcPr>
                <w:p w:rsidR="00F80FB8" w:rsidRPr="0047600C" w:rsidRDefault="00F80FB8" w:rsidP="00116453">
                  <w:pPr>
                    <w:framePr w:hSpace="180" w:wrap="around" w:vAnchor="text" w:hAnchor="margin" w:y="135"/>
                    <w:autoSpaceDE w:val="0"/>
                    <w:autoSpaceDN w:val="0"/>
                    <w:adjustRightInd w:val="0"/>
                    <w:rPr>
                      <w:rFonts w:ascii="Calibri Light" w:hAnsi="Calibri Light"/>
                    </w:rPr>
                  </w:pP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Documented research that demonstrates why it’s not practical to compete the services. Web search results are often used.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Pr>
                      <w:rFonts w:ascii="Calibri" w:hAnsi="Calibri" w:cs="Calibri"/>
                      <w:color w:val="000000"/>
                      <w:sz w:val="20"/>
                      <w:szCs w:val="20"/>
                    </w:rPr>
                    <w:t xml:space="preserve">Online or newspaper </w:t>
                  </w:r>
                  <w:r w:rsidRPr="0047600C">
                    <w:rPr>
                      <w:rFonts w:ascii="Calibri" w:hAnsi="Calibri" w:cs="Calibri"/>
                      <w:color w:val="000000"/>
                      <w:sz w:val="20"/>
                      <w:szCs w:val="20"/>
                    </w:rPr>
                    <w:t xml:space="preserve">posting stating the intent to award a single source contract, describing the services, and seeking additional vendors and results.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Program Manager and/or subject matter expert(s) clearly describing: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Their name, title, and experience with the program and why this qualifies him/her to speak authoritatively on the matter.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the selected vendor’s unique skills and/or knowledge is the best for the program.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Quantified potential time and/or cost impacts if a different vendor were selected, like: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Impacts to data/research already performed.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Taking longer to perform the work.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Needing X number of hours to come up to the same level of expertise as the requested vendor, costing the state Y amount more.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using a competitive process is not practical.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vendor clearly describing their unique skill or knowledge and how they came to possess it. (Resume, CV, references, sample work, etc.)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other vendors or third parties describing their inability to provide the same unique skill or knowledge and/or supporting the requested vendor.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2"/>
                      <w:szCs w:val="22"/>
                    </w:rPr>
                    <w:t></w:t>
                  </w:r>
                  <w:r w:rsidRPr="0047600C">
                    <w:rPr>
                      <w:rFonts w:ascii="Wingdings" w:hAnsi="Wingdings" w:cs="Wingdings"/>
                      <w:color w:val="000000"/>
                      <w:sz w:val="22"/>
                      <w:szCs w:val="22"/>
                    </w:rPr>
                    <w:t></w:t>
                  </w:r>
                  <w:r w:rsidRPr="0047600C">
                    <w:rPr>
                      <w:rFonts w:ascii="Calibri" w:hAnsi="Calibri" w:cs="Calibri"/>
                      <w:color w:val="000000"/>
                      <w:sz w:val="20"/>
                      <w:szCs w:val="20"/>
                    </w:rPr>
                    <w:t xml:space="preserve">Copies of any previously approved </w:t>
                  </w:r>
                  <w:r>
                    <w:rPr>
                      <w:rFonts w:ascii="Calibri" w:hAnsi="Calibri" w:cs="Calibri"/>
                      <w:color w:val="000000"/>
                      <w:sz w:val="20"/>
                      <w:szCs w:val="20"/>
                    </w:rPr>
                    <w:t>documents</w:t>
                  </w:r>
                  <w:r w:rsidRPr="0047600C">
                    <w:rPr>
                      <w:rFonts w:ascii="Calibri" w:hAnsi="Calibri" w:cs="Calibri"/>
                      <w:color w:val="000000"/>
                      <w:sz w:val="20"/>
                      <w:szCs w:val="20"/>
                    </w:rPr>
                    <w:t xml:space="preserve"> directly related to the project. </w:t>
                  </w:r>
                </w:p>
                <w:p w:rsidR="00F80FB8" w:rsidRPr="0047600C" w:rsidRDefault="00F80FB8" w:rsidP="00116453">
                  <w:pPr>
                    <w:framePr w:hSpace="180" w:wrap="around" w:vAnchor="text" w:hAnchor="margin" w:y="135"/>
                    <w:autoSpaceDE w:val="0"/>
                    <w:autoSpaceDN w:val="0"/>
                    <w:adjustRightInd w:val="0"/>
                    <w:rPr>
                      <w:rFonts w:ascii="Calibri" w:hAnsi="Calibri" w:cs="Calibri"/>
                      <w:color w:val="000000"/>
                      <w:sz w:val="20"/>
                      <w:szCs w:val="20"/>
                    </w:rPr>
                  </w:pPr>
                </w:p>
              </w:tc>
            </w:tr>
          </w:tbl>
          <w:p w:rsidR="00F80FB8" w:rsidRPr="00443181" w:rsidRDefault="00F80FB8" w:rsidP="00FE4C8D">
            <w:pPr>
              <w:rPr>
                <w:sz w:val="20"/>
                <w:szCs w:val="20"/>
              </w:rPr>
            </w:pPr>
          </w:p>
        </w:tc>
      </w:tr>
    </w:tbl>
    <w:p w:rsidR="00F80FB8" w:rsidRDefault="00F80FB8" w:rsidP="007E2B8D">
      <w:pPr>
        <w:rPr>
          <w:sz w:val="20"/>
          <w:szCs w:val="20"/>
        </w:rPr>
        <w:sectPr w:rsidR="00F80FB8" w:rsidSect="00D24CD8">
          <w:headerReference w:type="default" r:id="rId10"/>
          <w:pgSz w:w="12240" w:h="15840" w:code="1"/>
          <w:pgMar w:top="432" w:right="720" w:bottom="432" w:left="720" w:header="720" w:footer="720" w:gutter="0"/>
          <w:cols w:space="720"/>
          <w:docGrid w:linePitch="360"/>
        </w:sectPr>
      </w:pPr>
    </w:p>
    <w:p w:rsidR="00D24CD8" w:rsidRDefault="00D24CD8" w:rsidP="007E2B8D">
      <w:pPr>
        <w:rPr>
          <w:sz w:val="20"/>
          <w:szCs w:val="20"/>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D24CD8" w:rsidRPr="0063497D" w:rsidTr="00D24CD8">
        <w:tc>
          <w:tcPr>
            <w:tcW w:w="10520" w:type="dxa"/>
            <w:tcBorders>
              <w:top w:val="single" w:sz="8" w:space="0" w:color="auto"/>
              <w:left w:val="single" w:sz="8" w:space="0" w:color="auto"/>
              <w:bottom w:val="single" w:sz="8" w:space="0" w:color="auto"/>
              <w:right w:val="single" w:sz="8" w:space="0" w:color="auto"/>
            </w:tcBorders>
            <w:shd w:val="clear" w:color="auto" w:fill="B8CCE4"/>
          </w:tcPr>
          <w:p w:rsidR="00D24CD8" w:rsidRPr="0063497D" w:rsidRDefault="00574CE8" w:rsidP="00D24CD8">
            <w:pPr>
              <w:rPr>
                <w:b/>
                <w:sz w:val="22"/>
              </w:rPr>
            </w:pPr>
            <w:r w:rsidRPr="0063497D">
              <w:rPr>
                <w:b/>
                <w:sz w:val="22"/>
              </w:rPr>
              <w:t xml:space="preserve">Sole Source </w:t>
            </w:r>
            <w:r w:rsidRPr="0063497D">
              <w:rPr>
                <w:b/>
                <w:sz w:val="22"/>
                <w:u w:val="single"/>
              </w:rPr>
              <w:t>OR</w:t>
            </w:r>
            <w:r w:rsidRPr="0063497D">
              <w:rPr>
                <w:b/>
                <w:sz w:val="22"/>
              </w:rPr>
              <w:t xml:space="preserve"> a single vendor response to a </w:t>
            </w:r>
            <w:r>
              <w:rPr>
                <w:b/>
                <w:sz w:val="22"/>
              </w:rPr>
              <w:t>non-</w:t>
            </w:r>
            <w:r w:rsidRPr="0063497D">
              <w:rPr>
                <w:b/>
                <w:sz w:val="22"/>
              </w:rPr>
              <w:t>competitive bid</w:t>
            </w:r>
          </w:p>
        </w:tc>
      </w:tr>
      <w:tr w:rsidR="00D24CD8" w:rsidRPr="00443181" w:rsidTr="00D24CD8">
        <w:tc>
          <w:tcPr>
            <w:tcW w:w="10520" w:type="dxa"/>
            <w:tcBorders>
              <w:top w:val="single" w:sz="8" w:space="0" w:color="auto"/>
              <w:left w:val="single" w:sz="8" w:space="0" w:color="auto"/>
              <w:bottom w:val="single" w:sz="8" w:space="0" w:color="auto"/>
              <w:right w:val="single" w:sz="8" w:space="0" w:color="auto"/>
            </w:tcBorders>
            <w:shd w:val="clear" w:color="auto" w:fill="auto"/>
          </w:tcPr>
          <w:p w:rsidR="00574CE8" w:rsidRDefault="00D84765" w:rsidP="00574CE8">
            <w:pPr>
              <w:rPr>
                <w:sz w:val="20"/>
                <w:szCs w:val="20"/>
              </w:rPr>
            </w:pPr>
            <w:r>
              <w:rPr>
                <w:sz w:val="20"/>
                <w:szCs w:val="20"/>
                <w:u w:val="single"/>
              </w:rPr>
              <w:t>Subr</w:t>
            </w:r>
            <w:r w:rsidR="00574CE8" w:rsidRPr="006F3877">
              <w:rPr>
                <w:sz w:val="20"/>
                <w:szCs w:val="20"/>
                <w:u w:val="single"/>
              </w:rPr>
              <w:t xml:space="preserve">ecipients </w:t>
            </w:r>
            <w:r w:rsidR="00574CE8">
              <w:rPr>
                <w:sz w:val="20"/>
                <w:szCs w:val="20"/>
                <w:u w:val="single"/>
              </w:rPr>
              <w:t>Guidance</w:t>
            </w:r>
            <w:r w:rsidR="00574CE8">
              <w:rPr>
                <w:sz w:val="20"/>
                <w:szCs w:val="20"/>
              </w:rPr>
              <w:t xml:space="preserve">: </w:t>
            </w:r>
          </w:p>
          <w:p w:rsidR="00574CE8" w:rsidRPr="00443181" w:rsidRDefault="00574CE8" w:rsidP="00574CE8">
            <w:pPr>
              <w:rPr>
                <w:sz w:val="20"/>
                <w:szCs w:val="20"/>
              </w:rPr>
            </w:pPr>
            <w:r>
              <w:rPr>
                <w:sz w:val="20"/>
                <w:szCs w:val="20"/>
              </w:rPr>
              <w:t>M</w:t>
            </w:r>
            <w:r w:rsidRPr="00443181">
              <w:rPr>
                <w:sz w:val="20"/>
                <w:szCs w:val="20"/>
              </w:rPr>
              <w:t>ust obtain DHS&amp;EM pre-approval prior to execution of this type contract (regardless of amount)</w:t>
            </w:r>
          </w:p>
          <w:p w:rsidR="00574CE8" w:rsidRPr="00443181" w:rsidRDefault="00574CE8" w:rsidP="00574CE8">
            <w:pPr>
              <w:rPr>
                <w:sz w:val="20"/>
                <w:szCs w:val="20"/>
              </w:rPr>
            </w:pPr>
          </w:p>
          <w:p w:rsidR="00574CE8" w:rsidRDefault="00574CE8" w:rsidP="00574CE8">
            <w:pPr>
              <w:rPr>
                <w:sz w:val="20"/>
                <w:szCs w:val="20"/>
                <w:u w:val="single"/>
              </w:rPr>
            </w:pPr>
            <w:r w:rsidRPr="006F3877">
              <w:rPr>
                <w:sz w:val="20"/>
                <w:szCs w:val="20"/>
                <w:u w:val="single"/>
              </w:rPr>
              <w:t xml:space="preserve">Justification: </w:t>
            </w:r>
          </w:p>
          <w:p w:rsidR="00574CE8" w:rsidRDefault="00574CE8" w:rsidP="00574CE8">
            <w:pPr>
              <w:rPr>
                <w:sz w:val="20"/>
                <w:szCs w:val="20"/>
              </w:rPr>
            </w:pPr>
            <w:r>
              <w:rPr>
                <w:sz w:val="20"/>
                <w:szCs w:val="20"/>
              </w:rPr>
              <w:t>M</w:t>
            </w:r>
            <w:r w:rsidRPr="00443181">
              <w:rPr>
                <w:sz w:val="20"/>
                <w:szCs w:val="20"/>
              </w:rPr>
              <w:t>ust explain why vendor was chosen</w:t>
            </w:r>
            <w:r>
              <w:rPr>
                <w:sz w:val="20"/>
                <w:szCs w:val="20"/>
              </w:rPr>
              <w:t xml:space="preserve"> by completing </w:t>
            </w:r>
            <w:r w:rsidRPr="00443181">
              <w:rPr>
                <w:sz w:val="20"/>
                <w:szCs w:val="20"/>
              </w:rPr>
              <w:t>Justification</w:t>
            </w:r>
            <w:r>
              <w:rPr>
                <w:sz w:val="20"/>
                <w:szCs w:val="20"/>
              </w:rPr>
              <w:t xml:space="preserve"> block must be filled out </w:t>
            </w:r>
            <w:r w:rsidRPr="00443181">
              <w:rPr>
                <w:sz w:val="20"/>
                <w:szCs w:val="20"/>
              </w:rPr>
              <w:t>explain why vendor was chosen</w:t>
            </w:r>
          </w:p>
          <w:p w:rsidR="00574CE8" w:rsidRDefault="00574CE8" w:rsidP="00574CE8">
            <w:pPr>
              <w:rPr>
                <w:sz w:val="20"/>
                <w:szCs w:val="20"/>
              </w:rPr>
            </w:pPr>
          </w:p>
          <w:p w:rsidR="00574CE8" w:rsidRDefault="00574CE8" w:rsidP="00574CE8">
            <w:pPr>
              <w:rPr>
                <w:color w:val="000000"/>
                <w:sz w:val="20"/>
                <w:szCs w:val="20"/>
              </w:rPr>
            </w:pPr>
            <w:r w:rsidRPr="006F3877">
              <w:rPr>
                <w:color w:val="000000" w:themeColor="text1"/>
                <w:sz w:val="20"/>
                <w:szCs w:val="20"/>
                <w:u w:val="single"/>
              </w:rPr>
              <w:t>Procurement Method:</w:t>
            </w:r>
            <w:r>
              <w:rPr>
                <w:color w:val="000000" w:themeColor="text1"/>
                <w:sz w:val="20"/>
                <w:szCs w:val="20"/>
              </w:rPr>
              <w:t xml:space="preserve"> </w:t>
            </w:r>
          </w:p>
          <w:p w:rsidR="00574CE8" w:rsidRDefault="00574CE8" w:rsidP="00574CE8">
            <w:pPr>
              <w:tabs>
                <w:tab w:val="left" w:pos="1750"/>
              </w:tabs>
              <w:rPr>
                <w:color w:val="000000"/>
                <w:sz w:val="20"/>
                <w:szCs w:val="20"/>
              </w:rPr>
            </w:pPr>
            <w:r>
              <w:rPr>
                <w:color w:val="000000"/>
                <w:sz w:val="20"/>
                <w:szCs w:val="20"/>
              </w:rPr>
              <w:t>1. Before selection of firm or vendor submit copies of solicitation, and response to DHS &amp; EM for review and approval.</w:t>
            </w:r>
          </w:p>
          <w:p w:rsidR="00574CE8" w:rsidRDefault="00574CE8" w:rsidP="00574CE8">
            <w:pPr>
              <w:tabs>
                <w:tab w:val="left" w:pos="1750"/>
              </w:tabs>
              <w:rPr>
                <w:color w:val="000000"/>
                <w:sz w:val="20"/>
                <w:szCs w:val="20"/>
              </w:rPr>
            </w:pPr>
          </w:p>
          <w:p w:rsidR="00574CE8" w:rsidRPr="00574CE8" w:rsidRDefault="00574CE8" w:rsidP="00574CE8">
            <w:pPr>
              <w:rPr>
                <w:color w:val="000000"/>
                <w:sz w:val="20"/>
                <w:szCs w:val="20"/>
              </w:rPr>
            </w:pPr>
            <w:r>
              <w:rPr>
                <w:sz w:val="20"/>
                <w:szCs w:val="20"/>
              </w:rPr>
              <w:t>2</w:t>
            </w:r>
            <w:r w:rsidRPr="00896CD3">
              <w:rPr>
                <w:sz w:val="20"/>
                <w:szCs w:val="20"/>
              </w:rPr>
              <w:t xml:space="preserve">. </w:t>
            </w:r>
            <w:r w:rsidRPr="00574CE8">
              <w:rPr>
                <w:color w:val="000000"/>
                <w:sz w:val="20"/>
                <w:szCs w:val="20"/>
              </w:rPr>
              <w:t>Provide all written supporting documents providing justification of sole source or single vendor selection.</w:t>
            </w:r>
          </w:p>
          <w:p w:rsidR="00574CE8" w:rsidRPr="00896CD3" w:rsidRDefault="00574CE8" w:rsidP="00574CE8">
            <w:pPr>
              <w:rPr>
                <w:color w:val="FF0000"/>
                <w:sz w:val="20"/>
                <w:szCs w:val="20"/>
              </w:rPr>
            </w:pPr>
          </w:p>
          <w:p w:rsidR="00574CE8" w:rsidRDefault="00574CE8" w:rsidP="00574CE8">
            <w:pPr>
              <w:rPr>
                <w:sz w:val="20"/>
                <w:szCs w:val="20"/>
              </w:rPr>
            </w:pPr>
            <w:r>
              <w:rPr>
                <w:sz w:val="20"/>
                <w:szCs w:val="20"/>
              </w:rPr>
              <w:t xml:space="preserve">5. </w:t>
            </w:r>
            <w:r w:rsidRPr="00443181">
              <w:rPr>
                <w:b/>
                <w:sz w:val="20"/>
                <w:szCs w:val="20"/>
              </w:rPr>
              <w:t xml:space="preserve">Send to DHS&amp;EM for approval </w:t>
            </w:r>
            <w:r w:rsidRPr="00443181">
              <w:rPr>
                <w:b/>
                <w:sz w:val="20"/>
                <w:szCs w:val="20"/>
                <w:u w:val="single"/>
              </w:rPr>
              <w:t>prior</w:t>
            </w:r>
            <w:r w:rsidRPr="00443181">
              <w:rPr>
                <w:b/>
                <w:sz w:val="20"/>
                <w:szCs w:val="20"/>
              </w:rPr>
              <w:t xml:space="preserve"> to purchase</w:t>
            </w:r>
            <w:r>
              <w:rPr>
                <w:b/>
                <w:sz w:val="20"/>
                <w:szCs w:val="20"/>
              </w:rPr>
              <w:t>.</w:t>
            </w:r>
          </w:p>
          <w:p w:rsidR="00574CE8" w:rsidRDefault="00574CE8" w:rsidP="00574CE8">
            <w:pPr>
              <w:rPr>
                <w:sz w:val="20"/>
                <w:szCs w:val="20"/>
              </w:rPr>
            </w:pPr>
          </w:p>
          <w:p w:rsidR="00574CE8" w:rsidRDefault="00574CE8" w:rsidP="00574CE8">
            <w:pPr>
              <w:rPr>
                <w:sz w:val="20"/>
                <w:szCs w:val="20"/>
              </w:rPr>
            </w:pPr>
            <w:r w:rsidRPr="00806FD3">
              <w:rPr>
                <w:sz w:val="20"/>
                <w:szCs w:val="20"/>
                <w:u w:val="single"/>
              </w:rPr>
              <w:t>Award</w:t>
            </w:r>
            <w:r>
              <w:rPr>
                <w:sz w:val="20"/>
                <w:szCs w:val="20"/>
              </w:rPr>
              <w:t xml:space="preserve">: </w:t>
            </w:r>
          </w:p>
          <w:p w:rsidR="00574CE8" w:rsidRPr="00443181" w:rsidRDefault="00574CE8" w:rsidP="00574CE8">
            <w:pPr>
              <w:rPr>
                <w:sz w:val="20"/>
                <w:szCs w:val="20"/>
              </w:rPr>
            </w:pPr>
            <w:r>
              <w:rPr>
                <w:sz w:val="20"/>
                <w:szCs w:val="20"/>
              </w:rPr>
              <w:t>Must be with</w:t>
            </w:r>
            <w:r w:rsidRPr="00331B07">
              <w:rPr>
                <w:sz w:val="20"/>
                <w:szCs w:val="20"/>
              </w:rPr>
              <w:t xml:space="preserve">in accordance </w:t>
            </w:r>
            <w:r>
              <w:rPr>
                <w:sz w:val="20"/>
                <w:szCs w:val="20"/>
              </w:rPr>
              <w:t>of</w:t>
            </w:r>
            <w:r w:rsidRPr="00331B07">
              <w:rPr>
                <w:sz w:val="20"/>
                <w:szCs w:val="20"/>
              </w:rPr>
              <w:t xml:space="preserve"> the specifications and award criteria in the sol</w:t>
            </w:r>
            <w:r>
              <w:rPr>
                <w:sz w:val="20"/>
                <w:szCs w:val="20"/>
              </w:rPr>
              <w:t xml:space="preserve">icitation to the responsive, </w:t>
            </w:r>
            <w:r w:rsidRPr="00331B07">
              <w:rPr>
                <w:sz w:val="20"/>
                <w:szCs w:val="20"/>
              </w:rPr>
              <w:t>respo</w:t>
            </w:r>
            <w:r>
              <w:rPr>
                <w:sz w:val="20"/>
                <w:szCs w:val="20"/>
              </w:rPr>
              <w:t xml:space="preserve">nsible bidder </w:t>
            </w:r>
            <w:r>
              <w:rPr>
                <w:sz w:val="22"/>
                <w:szCs w:val="22"/>
              </w:rPr>
              <w:t xml:space="preserve">and </w:t>
            </w:r>
            <w:r w:rsidRPr="00C876DC">
              <w:rPr>
                <w:sz w:val="22"/>
                <w:szCs w:val="22"/>
              </w:rPr>
              <w:t xml:space="preserve">justification </w:t>
            </w:r>
            <w:r>
              <w:rPr>
                <w:sz w:val="22"/>
                <w:szCs w:val="22"/>
              </w:rPr>
              <w:t xml:space="preserve">of sole source or single </w:t>
            </w:r>
            <w:r w:rsidRPr="00C876DC">
              <w:rPr>
                <w:sz w:val="22"/>
                <w:szCs w:val="22"/>
              </w:rPr>
              <w:t>vendor selection</w:t>
            </w:r>
            <w:r>
              <w:rPr>
                <w:sz w:val="22"/>
                <w:szCs w:val="22"/>
              </w:rPr>
              <w:t>.</w:t>
            </w:r>
          </w:p>
          <w:p w:rsidR="00574CE8" w:rsidRDefault="00574CE8" w:rsidP="00574CE8">
            <w:pPr>
              <w:rPr>
                <w:sz w:val="20"/>
                <w:szCs w:val="20"/>
                <w:u w:val="single"/>
              </w:rPr>
            </w:pPr>
          </w:p>
          <w:p w:rsidR="00574CE8" w:rsidRDefault="00574CE8" w:rsidP="00574CE8">
            <w:pPr>
              <w:rPr>
                <w:sz w:val="20"/>
                <w:szCs w:val="20"/>
                <w:u w:val="single"/>
              </w:rPr>
            </w:pPr>
            <w:r>
              <w:rPr>
                <w:sz w:val="20"/>
                <w:szCs w:val="20"/>
                <w:u w:val="single"/>
              </w:rPr>
              <w:t xml:space="preserve">Regulations: </w:t>
            </w:r>
            <w:r w:rsidRPr="00F24B63">
              <w:rPr>
                <w:sz w:val="20"/>
                <w:szCs w:val="20"/>
              </w:rPr>
              <w:t>Alaska Statues, Code of Federal Regulations, Local Procurement Codes</w:t>
            </w:r>
          </w:p>
          <w:p w:rsidR="00E86808" w:rsidRDefault="00E86808" w:rsidP="00E86808">
            <w:pPr>
              <w:rPr>
                <w:sz w:val="20"/>
                <w:szCs w:val="20"/>
              </w:rPr>
            </w:pPr>
          </w:p>
          <w:p w:rsidR="00E86808" w:rsidRDefault="00E86808" w:rsidP="00E86808">
            <w:pPr>
              <w:rPr>
                <w:sz w:val="20"/>
                <w:szCs w:val="20"/>
              </w:rPr>
            </w:pPr>
            <w:r>
              <w:rPr>
                <w:sz w:val="20"/>
                <w:szCs w:val="20"/>
              </w:rPr>
              <w:t>Alaska Statues, Title 36 Chapter 30</w:t>
            </w:r>
          </w:p>
          <w:p w:rsidR="00E86808" w:rsidRDefault="00E86808" w:rsidP="00E86808">
            <w:pPr>
              <w:rPr>
                <w:sz w:val="20"/>
                <w:szCs w:val="20"/>
              </w:rPr>
            </w:pPr>
            <w:r>
              <w:rPr>
                <w:sz w:val="20"/>
                <w:szCs w:val="20"/>
              </w:rPr>
              <w:t>Alaska Administrative Code, Title 2 Chapter 12</w:t>
            </w:r>
          </w:p>
          <w:p w:rsidR="00574CE8" w:rsidRDefault="00574CE8" w:rsidP="00574CE8">
            <w:pPr>
              <w:rPr>
                <w:sz w:val="20"/>
                <w:szCs w:val="20"/>
                <w:u w:val="single"/>
              </w:rPr>
            </w:pPr>
          </w:p>
          <w:p w:rsidR="00574CE8" w:rsidRDefault="00574CE8" w:rsidP="00574CE8">
            <w:pPr>
              <w:rPr>
                <w:sz w:val="20"/>
                <w:szCs w:val="20"/>
              </w:rPr>
            </w:pPr>
            <w:r>
              <w:rPr>
                <w:sz w:val="20"/>
                <w:szCs w:val="20"/>
              </w:rPr>
              <w:t xml:space="preserve">2 C.F.R. § 200.320 (f): Procurement by non-competitive proposals.  </w:t>
            </w:r>
            <w:r w:rsidRPr="00BB171D">
              <w:rPr>
                <w:sz w:val="20"/>
                <w:szCs w:val="20"/>
                <w:u w:val="single"/>
              </w:rPr>
              <w:t>NOTE:</w:t>
            </w:r>
            <w:r>
              <w:rPr>
                <w:sz w:val="20"/>
                <w:szCs w:val="20"/>
              </w:rPr>
              <w:t xml:space="preserve"> Alaska Procurement law overrides the SAT.</w:t>
            </w:r>
          </w:p>
          <w:p w:rsidR="00574CE8" w:rsidRDefault="00574CE8" w:rsidP="00574CE8">
            <w:pPr>
              <w:rPr>
                <w:sz w:val="20"/>
                <w:szCs w:val="20"/>
              </w:rPr>
            </w:pPr>
          </w:p>
          <w:p w:rsidR="00574CE8" w:rsidRDefault="00574CE8" w:rsidP="00574CE8">
            <w:pPr>
              <w:rPr>
                <w:sz w:val="20"/>
                <w:szCs w:val="20"/>
              </w:rPr>
            </w:pPr>
            <w:r>
              <w:rPr>
                <w:sz w:val="20"/>
                <w:szCs w:val="20"/>
              </w:rPr>
              <w:t>Local Procurement Codes</w:t>
            </w:r>
          </w:p>
          <w:p w:rsidR="00D24CD8" w:rsidRPr="00443181" w:rsidRDefault="00D24CD8" w:rsidP="00D24CD8">
            <w:pPr>
              <w:rPr>
                <w:sz w:val="20"/>
                <w:szCs w:val="20"/>
              </w:rPr>
            </w:pPr>
          </w:p>
        </w:tc>
      </w:tr>
    </w:tbl>
    <w:p w:rsidR="00D24CD8" w:rsidRDefault="00D24CD8" w:rsidP="007E2B8D">
      <w:pPr>
        <w:rPr>
          <w:sz w:val="20"/>
          <w:szCs w:val="20"/>
        </w:rPr>
      </w:pPr>
    </w:p>
    <w:tbl>
      <w:tblPr>
        <w:tblpPr w:leftFromText="180" w:rightFromText="180" w:vertAnchor="text" w:horzAnchor="margin" w:tblpY="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0"/>
      </w:tblGrid>
      <w:tr w:rsidR="00F80FB8" w:rsidRPr="0063497D" w:rsidTr="00FE4C8D">
        <w:tc>
          <w:tcPr>
            <w:tcW w:w="10700" w:type="dxa"/>
            <w:shd w:val="clear" w:color="auto" w:fill="B8CCE4"/>
          </w:tcPr>
          <w:p w:rsidR="00F80FB8" w:rsidRPr="0063497D" w:rsidRDefault="00E94ED3" w:rsidP="00FE4C8D">
            <w:pPr>
              <w:rPr>
                <w:b/>
                <w:sz w:val="22"/>
              </w:rPr>
            </w:pPr>
            <w:r>
              <w:rPr>
                <w:b/>
                <w:sz w:val="22"/>
              </w:rPr>
              <w:t>SAMS Report is a Mandatory Subr</w:t>
            </w:r>
            <w:r w:rsidR="00F80FB8">
              <w:rPr>
                <w:b/>
                <w:sz w:val="22"/>
              </w:rPr>
              <w:t>ecipient</w:t>
            </w:r>
            <w:r w:rsidR="00F80FB8" w:rsidRPr="0063497D">
              <w:rPr>
                <w:b/>
                <w:sz w:val="22"/>
              </w:rPr>
              <w:t xml:space="preserve"> Action</w:t>
            </w:r>
          </w:p>
        </w:tc>
      </w:tr>
      <w:tr w:rsidR="00F80FB8" w:rsidRPr="00443181" w:rsidTr="00FE4C8D">
        <w:trPr>
          <w:trHeight w:val="1051"/>
        </w:trPr>
        <w:tc>
          <w:tcPr>
            <w:tcW w:w="10700" w:type="dxa"/>
            <w:shd w:val="clear" w:color="auto" w:fill="auto"/>
          </w:tcPr>
          <w:p w:rsidR="00F80FB8" w:rsidRDefault="00D84765" w:rsidP="00FE4C8D">
            <w:pPr>
              <w:rPr>
                <w:sz w:val="20"/>
                <w:szCs w:val="20"/>
              </w:rPr>
            </w:pPr>
            <w:r>
              <w:rPr>
                <w:sz w:val="20"/>
                <w:szCs w:val="20"/>
                <w:u w:val="single"/>
              </w:rPr>
              <w:t>Subr</w:t>
            </w:r>
            <w:r w:rsidR="00F80FB8" w:rsidRPr="00CC03BD">
              <w:rPr>
                <w:sz w:val="20"/>
                <w:szCs w:val="20"/>
                <w:u w:val="single"/>
              </w:rPr>
              <w:t>ecipient Instruction:</w:t>
            </w:r>
            <w:r w:rsidR="00F80FB8">
              <w:rPr>
                <w:sz w:val="20"/>
                <w:szCs w:val="20"/>
              </w:rPr>
              <w:t xml:space="preserve"> </w:t>
            </w:r>
          </w:p>
          <w:p w:rsidR="00F80FB8" w:rsidRPr="00443181" w:rsidRDefault="00F80FB8" w:rsidP="00FE4C8D">
            <w:pPr>
              <w:rPr>
                <w:sz w:val="20"/>
                <w:szCs w:val="20"/>
              </w:rPr>
            </w:pPr>
            <w:r>
              <w:rPr>
                <w:sz w:val="20"/>
                <w:szCs w:val="20"/>
              </w:rPr>
              <w:t>C</w:t>
            </w:r>
            <w:r w:rsidRPr="00443181">
              <w:rPr>
                <w:sz w:val="20"/>
                <w:szCs w:val="20"/>
              </w:rPr>
              <w:t xml:space="preserve">heck the federally debarred/suspended vendors at System for Award Management at </w:t>
            </w:r>
            <w:hyperlink r:id="rId11" w:history="1">
              <w:r w:rsidRPr="00443181">
                <w:rPr>
                  <w:rStyle w:val="Hyperlink"/>
                  <w:sz w:val="20"/>
                  <w:szCs w:val="20"/>
                </w:rPr>
                <w:t>www.sam.gov</w:t>
              </w:r>
            </w:hyperlink>
            <w:r w:rsidRPr="00443181">
              <w:rPr>
                <w:sz w:val="20"/>
                <w:szCs w:val="20"/>
              </w:rPr>
              <w:t xml:space="preserve"> prior to execution of any procurement or contract (regardless of amount)</w:t>
            </w:r>
            <w:r>
              <w:rPr>
                <w:sz w:val="20"/>
                <w:szCs w:val="20"/>
              </w:rPr>
              <w:t>.</w:t>
            </w:r>
          </w:p>
        </w:tc>
      </w:tr>
    </w:tbl>
    <w:p w:rsidR="00340E9B" w:rsidRDefault="00340E9B" w:rsidP="007E2B8D">
      <w:pPr>
        <w:rPr>
          <w:sz w:val="20"/>
          <w:szCs w:val="20"/>
        </w:rPr>
      </w:pPr>
    </w:p>
    <w:sectPr w:rsidR="00340E9B" w:rsidSect="00D24CD8">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DF" w:rsidRDefault="006243DF">
      <w:r>
        <w:separator/>
      </w:r>
    </w:p>
  </w:endnote>
  <w:endnote w:type="continuationSeparator" w:id="0">
    <w:p w:rsidR="006243DF" w:rsidRDefault="0062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B8" w:rsidRDefault="00F80FB8" w:rsidP="00F80FB8">
    <w:pPr>
      <w:pStyle w:val="Footer"/>
      <w:tabs>
        <w:tab w:val="clear" w:pos="4320"/>
        <w:tab w:val="clear" w:pos="8640"/>
        <w:tab w:val="center" w:pos="5040"/>
        <w:tab w:val="right" w:pos="10710"/>
      </w:tabs>
    </w:pPr>
    <w:r>
      <w:t>PMR Sole Source / Inadequate Competition</w:t>
    </w:r>
    <w:r>
      <w:tab/>
    </w:r>
    <w:r>
      <w:fldChar w:fldCharType="begin"/>
    </w:r>
    <w:r>
      <w:instrText xml:space="preserve"> PAGE   \* MERGEFORMAT </w:instrText>
    </w:r>
    <w:r>
      <w:fldChar w:fldCharType="separate"/>
    </w:r>
    <w:r w:rsidR="00116453">
      <w:rPr>
        <w:noProof/>
      </w:rPr>
      <w:t>1</w:t>
    </w:r>
    <w:r>
      <w:fldChar w:fldCharType="end"/>
    </w:r>
    <w:r w:rsidR="007E394B">
      <w:t xml:space="preserve"> of </w:t>
    </w:r>
    <w:fldSimple w:instr=" NUMPAGES   \* MERGEFORMAT ">
      <w:r w:rsidR="00116453">
        <w:rPr>
          <w:noProof/>
        </w:rPr>
        <w:t>3</w:t>
      </w:r>
    </w:fldSimple>
    <w:r>
      <w:tab/>
      <w:t xml:space="preserve">Revised </w:t>
    </w:r>
    <w:r w:rsidR="008E0583">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DF" w:rsidRDefault="006243DF">
      <w:r>
        <w:separator/>
      </w:r>
    </w:p>
  </w:footnote>
  <w:footnote w:type="continuationSeparator" w:id="0">
    <w:p w:rsidR="006243DF" w:rsidRDefault="0062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D8" w:rsidRPr="009E55C6" w:rsidRDefault="00D24CD8" w:rsidP="00A84655">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9B" w:rsidRDefault="00340E9B" w:rsidP="00340E9B">
    <w:pPr>
      <w:pStyle w:val="Header"/>
      <w:jc w:val="center"/>
      <w:rPr>
        <w:sz w:val="28"/>
        <w:szCs w:val="28"/>
      </w:rPr>
    </w:pPr>
    <w:r>
      <w:rPr>
        <w:sz w:val="28"/>
        <w:szCs w:val="28"/>
      </w:rPr>
      <w:t xml:space="preserve">Guidance for Procurement Method </w:t>
    </w:r>
  </w:p>
  <w:p w:rsidR="00340E9B" w:rsidRPr="00D24CD8" w:rsidRDefault="00340E9B" w:rsidP="000D562E">
    <w:pPr>
      <w:pStyle w:val="Header"/>
      <w:jc w:val="center"/>
      <w:rPr>
        <w:sz w:val="14"/>
        <w:szCs w:val="20"/>
      </w:rPr>
    </w:pPr>
    <w:r w:rsidRPr="00D24CD8">
      <w:rPr>
        <w:i/>
        <w:sz w:val="20"/>
        <w:szCs w:val="28"/>
      </w:rPr>
      <w:t>(For reference purposes only)</w:t>
    </w:r>
  </w:p>
  <w:p w:rsidR="00340E9B" w:rsidRPr="009E55C6" w:rsidRDefault="00340E9B" w:rsidP="009E55C6">
    <w:pPr>
      <w:pStyle w:val="Header"/>
      <w:tabs>
        <w:tab w:val="clear" w:pos="8640"/>
        <w:tab w:val="left" w:pos="5040"/>
      </w:tabs>
      <w:rPr>
        <w:sz w:val="16"/>
        <w:szCs w:val="16"/>
      </w:rPr>
    </w:pPr>
    <w:r w:rsidRPr="009E55C6">
      <w:rPr>
        <w:sz w:val="16"/>
        <w:szCs w:val="16"/>
      </w:rPr>
      <w:tab/>
    </w:r>
    <w:r w:rsidRPr="009E55C6">
      <w:rPr>
        <w:sz w:val="16"/>
        <w:szCs w:val="16"/>
      </w:rPr>
      <w:tab/>
    </w:r>
    <w:r w:rsidRPr="009E55C6">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CBF"/>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 w15:restartNumberingAfterBreak="0">
    <w:nsid w:val="08100DE3"/>
    <w:multiLevelType w:val="hybridMultilevel"/>
    <w:tmpl w:val="BB30AD3A"/>
    <w:lvl w:ilvl="0" w:tplc="3BCC6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0CD9"/>
    <w:multiLevelType w:val="hybridMultilevel"/>
    <w:tmpl w:val="795E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81A"/>
    <w:multiLevelType w:val="hybridMultilevel"/>
    <w:tmpl w:val="584CB9EC"/>
    <w:lvl w:ilvl="0" w:tplc="04090019">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C55C5"/>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5" w15:restartNumberingAfterBreak="0">
    <w:nsid w:val="0E9517EC"/>
    <w:multiLevelType w:val="hybridMultilevel"/>
    <w:tmpl w:val="D01A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12D1A"/>
    <w:multiLevelType w:val="hybridMultilevel"/>
    <w:tmpl w:val="3B7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6C5"/>
    <w:multiLevelType w:val="hybridMultilevel"/>
    <w:tmpl w:val="92B0037A"/>
    <w:lvl w:ilvl="0" w:tplc="3DCE7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933CF"/>
    <w:multiLevelType w:val="hybridMultilevel"/>
    <w:tmpl w:val="90E4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515"/>
    <w:multiLevelType w:val="hybridMultilevel"/>
    <w:tmpl w:val="76587110"/>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0" w15:restartNumberingAfterBreak="0">
    <w:nsid w:val="1D0B75FB"/>
    <w:multiLevelType w:val="hybridMultilevel"/>
    <w:tmpl w:val="D20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55CCD"/>
    <w:multiLevelType w:val="hybridMultilevel"/>
    <w:tmpl w:val="00F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81B51"/>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3" w15:restartNumberingAfterBreak="0">
    <w:nsid w:val="26D9187B"/>
    <w:multiLevelType w:val="hybridMultilevel"/>
    <w:tmpl w:val="A56A4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E21DE"/>
    <w:multiLevelType w:val="hybridMultilevel"/>
    <w:tmpl w:val="AB9E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D537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6" w15:restartNumberingAfterBreak="0">
    <w:nsid w:val="301F64EF"/>
    <w:multiLevelType w:val="hybridMultilevel"/>
    <w:tmpl w:val="DDDE191C"/>
    <w:lvl w:ilvl="0" w:tplc="94C262BE">
      <w:start w:val="1"/>
      <w:numFmt w:val="decimal"/>
      <w:lvlText w:val="%1."/>
      <w:lvlJc w:val="left"/>
      <w:pPr>
        <w:tabs>
          <w:tab w:val="num" w:pos="4740"/>
        </w:tabs>
        <w:ind w:left="474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17" w15:restartNumberingAfterBreak="0">
    <w:nsid w:val="34892C5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8" w15:restartNumberingAfterBreak="0">
    <w:nsid w:val="355F372C"/>
    <w:multiLevelType w:val="hybridMultilevel"/>
    <w:tmpl w:val="B8FE9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47D2F"/>
    <w:multiLevelType w:val="hybridMultilevel"/>
    <w:tmpl w:val="92A079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70E38C4"/>
    <w:multiLevelType w:val="hybridMultilevel"/>
    <w:tmpl w:val="A65E01CA"/>
    <w:lvl w:ilvl="0" w:tplc="DA58FE1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040C"/>
    <w:multiLevelType w:val="hybridMultilevel"/>
    <w:tmpl w:val="ACF0F56E"/>
    <w:lvl w:ilvl="0" w:tplc="7B782848">
      <w:numFmt w:val="bullet"/>
      <w:lvlText w:val=""/>
      <w:lvlJc w:val="left"/>
      <w:pPr>
        <w:tabs>
          <w:tab w:val="num" w:pos="2595"/>
        </w:tabs>
        <w:ind w:left="2595" w:hanging="360"/>
      </w:pPr>
      <w:rPr>
        <w:rFonts w:ascii="Wingdings" w:eastAsia="Times New Roman" w:hAnsi="Wingdings" w:cs="Aria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2" w15:restartNumberingAfterBreak="0">
    <w:nsid w:val="4AFF640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6098"/>
    <w:multiLevelType w:val="hybridMultilevel"/>
    <w:tmpl w:val="F2B8367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C645DE2"/>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04193"/>
    <w:multiLevelType w:val="hybridMultilevel"/>
    <w:tmpl w:val="7E282BCE"/>
    <w:lvl w:ilvl="0" w:tplc="F5A41DFA">
      <w:start w:val="1"/>
      <w:numFmt w:val="decimal"/>
      <w:lvlText w:val="%1."/>
      <w:lvlJc w:val="left"/>
      <w:pPr>
        <w:tabs>
          <w:tab w:val="num" w:pos="2685"/>
        </w:tabs>
        <w:ind w:left="2685" w:hanging="360"/>
      </w:pPr>
      <w:rPr>
        <w:rFonts w:hint="default"/>
      </w:rPr>
    </w:lvl>
    <w:lvl w:ilvl="1" w:tplc="04090019" w:tentative="1">
      <w:start w:val="1"/>
      <w:numFmt w:val="lowerLetter"/>
      <w:lvlText w:val="%2."/>
      <w:lvlJc w:val="left"/>
      <w:pPr>
        <w:tabs>
          <w:tab w:val="num" w:pos="3405"/>
        </w:tabs>
        <w:ind w:left="3405" w:hanging="360"/>
      </w:pPr>
    </w:lvl>
    <w:lvl w:ilvl="2" w:tplc="0409001B" w:tentative="1">
      <w:start w:val="1"/>
      <w:numFmt w:val="lowerRoman"/>
      <w:lvlText w:val="%3."/>
      <w:lvlJc w:val="right"/>
      <w:pPr>
        <w:tabs>
          <w:tab w:val="num" w:pos="4125"/>
        </w:tabs>
        <w:ind w:left="4125" w:hanging="180"/>
      </w:pPr>
    </w:lvl>
    <w:lvl w:ilvl="3" w:tplc="0409000F" w:tentative="1">
      <w:start w:val="1"/>
      <w:numFmt w:val="decimal"/>
      <w:lvlText w:val="%4."/>
      <w:lvlJc w:val="left"/>
      <w:pPr>
        <w:tabs>
          <w:tab w:val="num" w:pos="4845"/>
        </w:tabs>
        <w:ind w:left="4845" w:hanging="360"/>
      </w:pPr>
    </w:lvl>
    <w:lvl w:ilvl="4" w:tplc="04090019" w:tentative="1">
      <w:start w:val="1"/>
      <w:numFmt w:val="lowerLetter"/>
      <w:lvlText w:val="%5."/>
      <w:lvlJc w:val="left"/>
      <w:pPr>
        <w:tabs>
          <w:tab w:val="num" w:pos="5565"/>
        </w:tabs>
        <w:ind w:left="5565" w:hanging="360"/>
      </w:pPr>
    </w:lvl>
    <w:lvl w:ilvl="5" w:tplc="0409001B" w:tentative="1">
      <w:start w:val="1"/>
      <w:numFmt w:val="lowerRoman"/>
      <w:lvlText w:val="%6."/>
      <w:lvlJc w:val="right"/>
      <w:pPr>
        <w:tabs>
          <w:tab w:val="num" w:pos="6285"/>
        </w:tabs>
        <w:ind w:left="6285" w:hanging="180"/>
      </w:pPr>
    </w:lvl>
    <w:lvl w:ilvl="6" w:tplc="0409000F" w:tentative="1">
      <w:start w:val="1"/>
      <w:numFmt w:val="decimal"/>
      <w:lvlText w:val="%7."/>
      <w:lvlJc w:val="left"/>
      <w:pPr>
        <w:tabs>
          <w:tab w:val="num" w:pos="7005"/>
        </w:tabs>
        <w:ind w:left="7005" w:hanging="360"/>
      </w:pPr>
    </w:lvl>
    <w:lvl w:ilvl="7" w:tplc="04090019" w:tentative="1">
      <w:start w:val="1"/>
      <w:numFmt w:val="lowerLetter"/>
      <w:lvlText w:val="%8."/>
      <w:lvlJc w:val="left"/>
      <w:pPr>
        <w:tabs>
          <w:tab w:val="num" w:pos="7725"/>
        </w:tabs>
        <w:ind w:left="7725" w:hanging="360"/>
      </w:pPr>
    </w:lvl>
    <w:lvl w:ilvl="8" w:tplc="0409001B" w:tentative="1">
      <w:start w:val="1"/>
      <w:numFmt w:val="lowerRoman"/>
      <w:lvlText w:val="%9."/>
      <w:lvlJc w:val="right"/>
      <w:pPr>
        <w:tabs>
          <w:tab w:val="num" w:pos="8445"/>
        </w:tabs>
        <w:ind w:left="8445" w:hanging="180"/>
      </w:pPr>
    </w:lvl>
  </w:abstractNum>
  <w:abstractNum w:abstractNumId="26" w15:restartNumberingAfterBreak="0">
    <w:nsid w:val="57FD4C4C"/>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322F8"/>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935A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649D5"/>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661D7"/>
    <w:multiLevelType w:val="hybridMultilevel"/>
    <w:tmpl w:val="D20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9017C"/>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32" w15:restartNumberingAfterBreak="0">
    <w:nsid w:val="788D03E4"/>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04361"/>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A5FFA"/>
    <w:multiLevelType w:val="hybridMultilevel"/>
    <w:tmpl w:val="90488C1A"/>
    <w:lvl w:ilvl="0" w:tplc="CD583588">
      <w:start w:val="3"/>
      <w:numFmt w:val="decimal"/>
      <w:lvlText w:val="%1."/>
      <w:lvlJc w:val="left"/>
      <w:pPr>
        <w:tabs>
          <w:tab w:val="num" w:pos="2550"/>
        </w:tabs>
        <w:ind w:left="2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1548A"/>
    <w:multiLevelType w:val="hybridMultilevel"/>
    <w:tmpl w:val="822A2BFC"/>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num w:numId="1">
    <w:abstractNumId w:val="19"/>
  </w:num>
  <w:num w:numId="2">
    <w:abstractNumId w:val="23"/>
  </w:num>
  <w:num w:numId="3">
    <w:abstractNumId w:val="3"/>
  </w:num>
  <w:num w:numId="4">
    <w:abstractNumId w:val="13"/>
  </w:num>
  <w:num w:numId="5">
    <w:abstractNumId w:val="12"/>
  </w:num>
  <w:num w:numId="6">
    <w:abstractNumId w:val="16"/>
  </w:num>
  <w:num w:numId="7">
    <w:abstractNumId w:val="25"/>
  </w:num>
  <w:num w:numId="8">
    <w:abstractNumId w:val="21"/>
  </w:num>
  <w:num w:numId="9">
    <w:abstractNumId w:val="35"/>
  </w:num>
  <w:num w:numId="10">
    <w:abstractNumId w:val="0"/>
  </w:num>
  <w:num w:numId="11">
    <w:abstractNumId w:val="31"/>
  </w:num>
  <w:num w:numId="12">
    <w:abstractNumId w:val="18"/>
  </w:num>
  <w:num w:numId="13">
    <w:abstractNumId w:val="27"/>
  </w:num>
  <w:num w:numId="14">
    <w:abstractNumId w:val="24"/>
  </w:num>
  <w:num w:numId="15">
    <w:abstractNumId w:val="15"/>
  </w:num>
  <w:num w:numId="16">
    <w:abstractNumId w:val="17"/>
  </w:num>
  <w:num w:numId="17">
    <w:abstractNumId w:val="6"/>
  </w:num>
  <w:num w:numId="18">
    <w:abstractNumId w:val="10"/>
  </w:num>
  <w:num w:numId="19">
    <w:abstractNumId w:val="30"/>
  </w:num>
  <w:num w:numId="20">
    <w:abstractNumId w:val="26"/>
  </w:num>
  <w:num w:numId="21">
    <w:abstractNumId w:val="7"/>
  </w:num>
  <w:num w:numId="22">
    <w:abstractNumId w:val="22"/>
  </w:num>
  <w:num w:numId="23">
    <w:abstractNumId w:val="28"/>
  </w:num>
  <w:num w:numId="24">
    <w:abstractNumId w:val="14"/>
  </w:num>
  <w:num w:numId="25">
    <w:abstractNumId w:val="9"/>
  </w:num>
  <w:num w:numId="26">
    <w:abstractNumId w:val="32"/>
  </w:num>
  <w:num w:numId="27">
    <w:abstractNumId w:val="20"/>
  </w:num>
  <w:num w:numId="28">
    <w:abstractNumId w:val="34"/>
  </w:num>
  <w:num w:numId="29">
    <w:abstractNumId w:val="4"/>
  </w:num>
  <w:num w:numId="30">
    <w:abstractNumId w:val="29"/>
  </w:num>
  <w:num w:numId="31">
    <w:abstractNumId w:val="1"/>
  </w:num>
  <w:num w:numId="32">
    <w:abstractNumId w:val="33"/>
  </w:num>
  <w:num w:numId="33">
    <w:abstractNumId w:val="2"/>
  </w:num>
  <w:num w:numId="34">
    <w:abstractNumId w:val="8"/>
  </w:num>
  <w:num w:numId="35">
    <w:abstractNumId w:val="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1E58"/>
    <w:rsid w:val="000113CD"/>
    <w:rsid w:val="00022B17"/>
    <w:rsid w:val="0004018E"/>
    <w:rsid w:val="00052C52"/>
    <w:rsid w:val="000667FF"/>
    <w:rsid w:val="00071DCA"/>
    <w:rsid w:val="00077432"/>
    <w:rsid w:val="00077E83"/>
    <w:rsid w:val="0008528C"/>
    <w:rsid w:val="0008640F"/>
    <w:rsid w:val="000A26E4"/>
    <w:rsid w:val="000B1173"/>
    <w:rsid w:val="000B1907"/>
    <w:rsid w:val="000B4EC0"/>
    <w:rsid w:val="000C39F7"/>
    <w:rsid w:val="000C5F61"/>
    <w:rsid w:val="000D0CDF"/>
    <w:rsid w:val="000D562E"/>
    <w:rsid w:val="000D6F34"/>
    <w:rsid w:val="000F4710"/>
    <w:rsid w:val="00116453"/>
    <w:rsid w:val="001221AC"/>
    <w:rsid w:val="00131BCD"/>
    <w:rsid w:val="00146A4D"/>
    <w:rsid w:val="0015060A"/>
    <w:rsid w:val="00162D97"/>
    <w:rsid w:val="0017218A"/>
    <w:rsid w:val="0019195E"/>
    <w:rsid w:val="001972E6"/>
    <w:rsid w:val="001D1118"/>
    <w:rsid w:val="001F1D24"/>
    <w:rsid w:val="001F2DDB"/>
    <w:rsid w:val="001F4710"/>
    <w:rsid w:val="002012A2"/>
    <w:rsid w:val="0025382C"/>
    <w:rsid w:val="002543CC"/>
    <w:rsid w:val="00256168"/>
    <w:rsid w:val="002629EE"/>
    <w:rsid w:val="00275123"/>
    <w:rsid w:val="00276815"/>
    <w:rsid w:val="0028109E"/>
    <w:rsid w:val="00284725"/>
    <w:rsid w:val="00286404"/>
    <w:rsid w:val="00292AC1"/>
    <w:rsid w:val="002C1AF6"/>
    <w:rsid w:val="002C2AA7"/>
    <w:rsid w:val="002D6960"/>
    <w:rsid w:val="002E08E4"/>
    <w:rsid w:val="002E5323"/>
    <w:rsid w:val="002E7FCA"/>
    <w:rsid w:val="002F4D50"/>
    <w:rsid w:val="0030659F"/>
    <w:rsid w:val="00307893"/>
    <w:rsid w:val="00310B0E"/>
    <w:rsid w:val="003161A9"/>
    <w:rsid w:val="0032392C"/>
    <w:rsid w:val="00331B07"/>
    <w:rsid w:val="00340E9B"/>
    <w:rsid w:val="00371263"/>
    <w:rsid w:val="00373E37"/>
    <w:rsid w:val="00376D55"/>
    <w:rsid w:val="00382223"/>
    <w:rsid w:val="00382E09"/>
    <w:rsid w:val="0039158A"/>
    <w:rsid w:val="00391E22"/>
    <w:rsid w:val="00391EC6"/>
    <w:rsid w:val="00393368"/>
    <w:rsid w:val="00394DDD"/>
    <w:rsid w:val="0039550E"/>
    <w:rsid w:val="003A18CD"/>
    <w:rsid w:val="003B41F0"/>
    <w:rsid w:val="003B502B"/>
    <w:rsid w:val="003C3C4B"/>
    <w:rsid w:val="003C4413"/>
    <w:rsid w:val="003D6492"/>
    <w:rsid w:val="003E1718"/>
    <w:rsid w:val="003F011F"/>
    <w:rsid w:val="003F362E"/>
    <w:rsid w:val="004064A2"/>
    <w:rsid w:val="00426D72"/>
    <w:rsid w:val="00433C68"/>
    <w:rsid w:val="004400F8"/>
    <w:rsid w:val="00443181"/>
    <w:rsid w:val="0045061D"/>
    <w:rsid w:val="004561AD"/>
    <w:rsid w:val="0047557E"/>
    <w:rsid w:val="0047600C"/>
    <w:rsid w:val="0048176F"/>
    <w:rsid w:val="00490550"/>
    <w:rsid w:val="004A68ED"/>
    <w:rsid w:val="004B15E9"/>
    <w:rsid w:val="004B1B1D"/>
    <w:rsid w:val="004B7674"/>
    <w:rsid w:val="004E2DB8"/>
    <w:rsid w:val="004E732F"/>
    <w:rsid w:val="004F71E6"/>
    <w:rsid w:val="00513902"/>
    <w:rsid w:val="00523CD7"/>
    <w:rsid w:val="005246A8"/>
    <w:rsid w:val="00536A01"/>
    <w:rsid w:val="00550DD6"/>
    <w:rsid w:val="00551E23"/>
    <w:rsid w:val="00552AA1"/>
    <w:rsid w:val="00557E2F"/>
    <w:rsid w:val="00567980"/>
    <w:rsid w:val="00574CE8"/>
    <w:rsid w:val="0057575A"/>
    <w:rsid w:val="0057647C"/>
    <w:rsid w:val="00587A44"/>
    <w:rsid w:val="005B0DEE"/>
    <w:rsid w:val="005C3742"/>
    <w:rsid w:val="005D5745"/>
    <w:rsid w:val="005D6A84"/>
    <w:rsid w:val="005E2747"/>
    <w:rsid w:val="005F30E1"/>
    <w:rsid w:val="00601252"/>
    <w:rsid w:val="006015B6"/>
    <w:rsid w:val="00610CD6"/>
    <w:rsid w:val="00621274"/>
    <w:rsid w:val="006243DF"/>
    <w:rsid w:val="0063497D"/>
    <w:rsid w:val="00640A5C"/>
    <w:rsid w:val="00654F60"/>
    <w:rsid w:val="0066312B"/>
    <w:rsid w:val="0066555F"/>
    <w:rsid w:val="00666A8F"/>
    <w:rsid w:val="006723F9"/>
    <w:rsid w:val="00677668"/>
    <w:rsid w:val="00683428"/>
    <w:rsid w:val="006A20EA"/>
    <w:rsid w:val="006F24DB"/>
    <w:rsid w:val="006F3877"/>
    <w:rsid w:val="00706A52"/>
    <w:rsid w:val="00714251"/>
    <w:rsid w:val="00716382"/>
    <w:rsid w:val="007227C9"/>
    <w:rsid w:val="00722B37"/>
    <w:rsid w:val="00724341"/>
    <w:rsid w:val="0074468B"/>
    <w:rsid w:val="0075230C"/>
    <w:rsid w:val="00756B37"/>
    <w:rsid w:val="0076141A"/>
    <w:rsid w:val="007703BC"/>
    <w:rsid w:val="00773D17"/>
    <w:rsid w:val="007811FB"/>
    <w:rsid w:val="007922EC"/>
    <w:rsid w:val="007B1123"/>
    <w:rsid w:val="007C574A"/>
    <w:rsid w:val="007D3568"/>
    <w:rsid w:val="007E2B8D"/>
    <w:rsid w:val="007E394B"/>
    <w:rsid w:val="007F1DD3"/>
    <w:rsid w:val="007F28AC"/>
    <w:rsid w:val="007F545D"/>
    <w:rsid w:val="00803AA5"/>
    <w:rsid w:val="00806FD3"/>
    <w:rsid w:val="00850C4A"/>
    <w:rsid w:val="00865B46"/>
    <w:rsid w:val="00871265"/>
    <w:rsid w:val="008875DA"/>
    <w:rsid w:val="00896CD3"/>
    <w:rsid w:val="00897852"/>
    <w:rsid w:val="008A2873"/>
    <w:rsid w:val="008D342E"/>
    <w:rsid w:val="008D4A43"/>
    <w:rsid w:val="008E0583"/>
    <w:rsid w:val="008E05BE"/>
    <w:rsid w:val="008E3761"/>
    <w:rsid w:val="0090323A"/>
    <w:rsid w:val="00914E92"/>
    <w:rsid w:val="0091661C"/>
    <w:rsid w:val="00933FB0"/>
    <w:rsid w:val="00952942"/>
    <w:rsid w:val="00957C7C"/>
    <w:rsid w:val="00972732"/>
    <w:rsid w:val="0097720E"/>
    <w:rsid w:val="009B6E62"/>
    <w:rsid w:val="009C2CDC"/>
    <w:rsid w:val="009E0E9E"/>
    <w:rsid w:val="009E1565"/>
    <w:rsid w:val="009E1BF7"/>
    <w:rsid w:val="009E40BD"/>
    <w:rsid w:val="009E55C6"/>
    <w:rsid w:val="009F4AC5"/>
    <w:rsid w:val="009F5FDE"/>
    <w:rsid w:val="009F6C75"/>
    <w:rsid w:val="00A02941"/>
    <w:rsid w:val="00A02A75"/>
    <w:rsid w:val="00A06F3B"/>
    <w:rsid w:val="00A26C3D"/>
    <w:rsid w:val="00A2771D"/>
    <w:rsid w:val="00A3113E"/>
    <w:rsid w:val="00A34883"/>
    <w:rsid w:val="00A4028A"/>
    <w:rsid w:val="00A409D3"/>
    <w:rsid w:val="00A424C1"/>
    <w:rsid w:val="00A43D4A"/>
    <w:rsid w:val="00A54844"/>
    <w:rsid w:val="00A61639"/>
    <w:rsid w:val="00A67325"/>
    <w:rsid w:val="00A70633"/>
    <w:rsid w:val="00A84655"/>
    <w:rsid w:val="00A91CB2"/>
    <w:rsid w:val="00AE7C79"/>
    <w:rsid w:val="00AF58C6"/>
    <w:rsid w:val="00AF77BA"/>
    <w:rsid w:val="00B001BE"/>
    <w:rsid w:val="00B14AC0"/>
    <w:rsid w:val="00B2068B"/>
    <w:rsid w:val="00B21EF7"/>
    <w:rsid w:val="00B42129"/>
    <w:rsid w:val="00B56C5A"/>
    <w:rsid w:val="00B60864"/>
    <w:rsid w:val="00B74C8E"/>
    <w:rsid w:val="00B755A3"/>
    <w:rsid w:val="00B86406"/>
    <w:rsid w:val="00B870B2"/>
    <w:rsid w:val="00BB171D"/>
    <w:rsid w:val="00BD796E"/>
    <w:rsid w:val="00BF26DC"/>
    <w:rsid w:val="00BF6D1F"/>
    <w:rsid w:val="00C00D2F"/>
    <w:rsid w:val="00C2573E"/>
    <w:rsid w:val="00C378E1"/>
    <w:rsid w:val="00C411F9"/>
    <w:rsid w:val="00C42F8D"/>
    <w:rsid w:val="00C4711A"/>
    <w:rsid w:val="00C637F5"/>
    <w:rsid w:val="00C876DC"/>
    <w:rsid w:val="00C955FD"/>
    <w:rsid w:val="00C95AEE"/>
    <w:rsid w:val="00C96A01"/>
    <w:rsid w:val="00CA72A7"/>
    <w:rsid w:val="00CB3A2D"/>
    <w:rsid w:val="00CC03BD"/>
    <w:rsid w:val="00CC3AB0"/>
    <w:rsid w:val="00CD13F7"/>
    <w:rsid w:val="00CD29CD"/>
    <w:rsid w:val="00CE1B4C"/>
    <w:rsid w:val="00CF4455"/>
    <w:rsid w:val="00CF5EC4"/>
    <w:rsid w:val="00D152DF"/>
    <w:rsid w:val="00D21B0D"/>
    <w:rsid w:val="00D23911"/>
    <w:rsid w:val="00D24CD8"/>
    <w:rsid w:val="00D36D4E"/>
    <w:rsid w:val="00D4156D"/>
    <w:rsid w:val="00D45263"/>
    <w:rsid w:val="00D5130F"/>
    <w:rsid w:val="00D56C0B"/>
    <w:rsid w:val="00D701CD"/>
    <w:rsid w:val="00D70528"/>
    <w:rsid w:val="00D71A20"/>
    <w:rsid w:val="00D71F3F"/>
    <w:rsid w:val="00D744BF"/>
    <w:rsid w:val="00D813F0"/>
    <w:rsid w:val="00D81F1B"/>
    <w:rsid w:val="00D84765"/>
    <w:rsid w:val="00DA154B"/>
    <w:rsid w:val="00DA6269"/>
    <w:rsid w:val="00DB005C"/>
    <w:rsid w:val="00DB67CC"/>
    <w:rsid w:val="00DC355F"/>
    <w:rsid w:val="00DC4C6E"/>
    <w:rsid w:val="00DD0B69"/>
    <w:rsid w:val="00DE3197"/>
    <w:rsid w:val="00DE3B68"/>
    <w:rsid w:val="00DE60C3"/>
    <w:rsid w:val="00E24F69"/>
    <w:rsid w:val="00E41B96"/>
    <w:rsid w:val="00E4289D"/>
    <w:rsid w:val="00E50185"/>
    <w:rsid w:val="00E52B9D"/>
    <w:rsid w:val="00E52FBF"/>
    <w:rsid w:val="00E6634C"/>
    <w:rsid w:val="00E70BA0"/>
    <w:rsid w:val="00E8479C"/>
    <w:rsid w:val="00E86808"/>
    <w:rsid w:val="00E90888"/>
    <w:rsid w:val="00E94ED3"/>
    <w:rsid w:val="00EB5916"/>
    <w:rsid w:val="00ED0585"/>
    <w:rsid w:val="00EF1BE1"/>
    <w:rsid w:val="00F13D32"/>
    <w:rsid w:val="00F15B24"/>
    <w:rsid w:val="00F24B63"/>
    <w:rsid w:val="00F31448"/>
    <w:rsid w:val="00F46541"/>
    <w:rsid w:val="00F53A2D"/>
    <w:rsid w:val="00F57073"/>
    <w:rsid w:val="00F74E19"/>
    <w:rsid w:val="00F80FB8"/>
    <w:rsid w:val="00F81D41"/>
    <w:rsid w:val="00F97AEA"/>
    <w:rsid w:val="00FA03CE"/>
    <w:rsid w:val="00FA1CFA"/>
    <w:rsid w:val="00FA5973"/>
    <w:rsid w:val="00FA68B7"/>
    <w:rsid w:val="00FB0540"/>
    <w:rsid w:val="00FB305D"/>
    <w:rsid w:val="00FD148E"/>
    <w:rsid w:val="00FD71AA"/>
    <w:rsid w:val="00FE2E29"/>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A06316-4413-4E7B-B447-43E9137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269"/>
    <w:pPr>
      <w:tabs>
        <w:tab w:val="center" w:pos="4320"/>
        <w:tab w:val="right" w:pos="8640"/>
      </w:tabs>
    </w:pPr>
  </w:style>
  <w:style w:type="paragraph" w:styleId="Footer">
    <w:name w:val="footer"/>
    <w:basedOn w:val="Normal"/>
    <w:rsid w:val="00DA6269"/>
    <w:pPr>
      <w:tabs>
        <w:tab w:val="center" w:pos="4320"/>
        <w:tab w:val="right" w:pos="8640"/>
      </w:tabs>
    </w:pPr>
  </w:style>
  <w:style w:type="character" w:styleId="PageNumber">
    <w:name w:val="page number"/>
    <w:basedOn w:val="DefaultParagraphFont"/>
    <w:rsid w:val="00162D97"/>
  </w:style>
  <w:style w:type="paragraph" w:styleId="BalloonText">
    <w:name w:val="Balloon Text"/>
    <w:basedOn w:val="Normal"/>
    <w:semiHidden/>
    <w:rsid w:val="00162D97"/>
    <w:rPr>
      <w:rFonts w:ascii="Tahoma" w:hAnsi="Tahoma" w:cs="Tahoma"/>
      <w:sz w:val="16"/>
      <w:szCs w:val="16"/>
    </w:rPr>
  </w:style>
  <w:style w:type="character" w:styleId="Hyperlink">
    <w:name w:val="Hyperlink"/>
    <w:rsid w:val="006A20EA"/>
    <w:rPr>
      <w:color w:val="0000FF"/>
      <w:u w:val="single"/>
    </w:rPr>
  </w:style>
  <w:style w:type="table" w:styleId="TableGrid">
    <w:name w:val="Table Grid"/>
    <w:basedOn w:val="TableNormal"/>
    <w:rsid w:val="00A9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DF"/>
    <w:pPr>
      <w:ind w:left="720"/>
    </w:pPr>
  </w:style>
  <w:style w:type="character" w:customStyle="1" w:styleId="Helvetica">
    <w:name w:val="Helvetica"/>
    <w:rsid w:val="00A26C3D"/>
    <w:rPr>
      <w:rFonts w:ascii="Univers" w:hAnsi="Univers"/>
      <w:noProof w:val="0"/>
      <w:sz w:val="18"/>
      <w:lang w:val="en-US"/>
    </w:rPr>
  </w:style>
  <w:style w:type="paragraph" w:customStyle="1" w:styleId="Default">
    <w:name w:val="Default"/>
    <w:rsid w:val="00F24B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3672">
      <w:bodyDiv w:val="1"/>
      <w:marLeft w:val="0"/>
      <w:marRight w:val="0"/>
      <w:marTop w:val="30"/>
      <w:marBottom w:val="750"/>
      <w:divBdr>
        <w:top w:val="none" w:sz="0" w:space="0" w:color="auto"/>
        <w:left w:val="none" w:sz="0" w:space="0" w:color="auto"/>
        <w:bottom w:val="none" w:sz="0" w:space="0" w:color="auto"/>
        <w:right w:val="none" w:sz="0" w:space="0" w:color="auto"/>
      </w:divBdr>
      <w:divsChild>
        <w:div w:id="1851408441">
          <w:marLeft w:val="0"/>
          <w:marRight w:val="0"/>
          <w:marTop w:val="0"/>
          <w:marBottom w:val="0"/>
          <w:divBdr>
            <w:top w:val="none" w:sz="0" w:space="0" w:color="auto"/>
            <w:left w:val="none" w:sz="0" w:space="0" w:color="auto"/>
            <w:bottom w:val="none" w:sz="0" w:space="0" w:color="auto"/>
            <w:right w:val="none" w:sz="0" w:space="0" w:color="auto"/>
          </w:divBdr>
        </w:div>
      </w:divsChild>
    </w:div>
    <w:div w:id="1483043433">
      <w:bodyDiv w:val="1"/>
      <w:marLeft w:val="0"/>
      <w:marRight w:val="0"/>
      <w:marTop w:val="30"/>
      <w:marBottom w:val="750"/>
      <w:divBdr>
        <w:top w:val="none" w:sz="0" w:space="0" w:color="auto"/>
        <w:left w:val="none" w:sz="0" w:space="0" w:color="auto"/>
        <w:bottom w:val="none" w:sz="0" w:space="0" w:color="auto"/>
        <w:right w:val="none" w:sz="0" w:space="0" w:color="auto"/>
      </w:divBdr>
      <w:divsChild>
        <w:div w:id="112342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7F06-53AB-441E-8D53-DF3872B7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Procurement Method Report</vt:lpstr>
    </vt:vector>
  </TitlesOfParts>
  <Company>DES</Company>
  <LinksUpToDate>false</LinksUpToDate>
  <CharactersWithSpaces>8425</CharactersWithSpaces>
  <SharedDoc>false</SharedDoc>
  <HLinks>
    <vt:vector size="12" baseType="variant">
      <vt:variant>
        <vt:i4>2359408</vt:i4>
      </vt:variant>
      <vt:variant>
        <vt:i4>7</vt:i4>
      </vt:variant>
      <vt:variant>
        <vt:i4>0</vt:i4>
      </vt:variant>
      <vt:variant>
        <vt:i4>5</vt:i4>
      </vt:variant>
      <vt:variant>
        <vt:lpwstr>http://www.sam.gov/</vt:lpwstr>
      </vt:variant>
      <vt:variant>
        <vt:lpwstr/>
      </vt:variant>
      <vt:variant>
        <vt:i4>3014753</vt:i4>
      </vt:variant>
      <vt:variant>
        <vt:i4>0</vt:i4>
      </vt:variant>
      <vt:variant>
        <vt:i4>0</vt:i4>
      </vt:variant>
      <vt:variant>
        <vt:i4>5</vt:i4>
      </vt:variant>
      <vt:variant>
        <vt:lpwstr>http://ready.alaska.gov/grants.htm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Method Report</dc:title>
  <dc:subject/>
  <dc:creator>Kris Jedlicki</dc:creator>
  <cp:keywords>vendor quote procurement summary source</cp:keywords>
  <dc:description>Procurements			Verbal quotes from three vendors 						Summary:			Sourcing from General Services approved vendor listsProcurement Method Report</dc:description>
  <cp:lastModifiedBy>Greg Szymanski</cp:lastModifiedBy>
  <cp:revision>2</cp:revision>
  <cp:lastPrinted>2017-10-11T16:28:00Z</cp:lastPrinted>
  <dcterms:created xsi:type="dcterms:W3CDTF">2019-06-20T14:21:00Z</dcterms:created>
  <dcterms:modified xsi:type="dcterms:W3CDTF">2019-06-20T14:21:00Z</dcterms:modified>
</cp:coreProperties>
</file>