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66E0B" w:rsidRDefault="00E6624B">
      <w:pPr>
        <w:rPr>
          <w:color w:val="FFFFFF" w:themeColor="background1"/>
        </w:rPr>
      </w:pPr>
      <w:r w:rsidRPr="00E662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3.15pt;width:555.9pt;height:12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" fillcolor="#002060" strokecolor="#f2f2f2 [3041]" strokeweight="3pt">
            <v:shadow on="t" color="#243f60 [1604]" opacity=".5" offset="1pt"/>
            <v:textbox>
              <w:txbxContent>
                <w:p w:rsidR="00325353" w:rsidRDefault="00325353" w:rsidP="00666E0B">
                  <w:pPr>
                    <w:contextualSpacing/>
                    <w:jc w:val="center"/>
                    <w:rPr>
                      <w:sz w:val="72"/>
                      <w:szCs w:val="72"/>
                    </w:rPr>
                  </w:pPr>
                  <w:r w:rsidRPr="00666E0B">
                    <w:rPr>
                      <w:sz w:val="72"/>
                      <w:szCs w:val="72"/>
                    </w:rPr>
                    <w:t>FACT SHEET</w:t>
                  </w:r>
                </w:p>
                <w:p w:rsidR="00325353" w:rsidRPr="00666E0B" w:rsidRDefault="00325353" w:rsidP="00666E0B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6E0B">
                    <w:rPr>
                      <w:b/>
                      <w:sz w:val="28"/>
                      <w:szCs w:val="28"/>
                    </w:rPr>
                    <w:t>Statewide Continuity of Operations Planning Initiative</w:t>
                  </w:r>
                  <w:r>
                    <w:rPr>
                      <w:b/>
                      <w:sz w:val="28"/>
                      <w:szCs w:val="28"/>
                    </w:rPr>
                    <w:br/>
                    <w:t>Training and Technical Assistance</w:t>
                  </w:r>
                </w:p>
                <w:p w:rsidR="00325353" w:rsidRPr="00666E0B" w:rsidRDefault="00F22A8F" w:rsidP="00666E0B">
                  <w:pPr>
                    <w:jc w:val="center"/>
                    <w:rPr>
                      <w:sz w:val="72"/>
                      <w:szCs w:val="72"/>
                    </w:rPr>
                  </w:pPr>
                  <w:r w:rsidRPr="00F22A8F"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943600" cy="278606"/>
                        <wp:effectExtent l="19050" t="0" r="0" b="0"/>
                        <wp:docPr id="1" name="Picture 1" descr="http://alaska.gov/images/footerBG_bottom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oter_decoration" descr="http://alaska.gov/images/footerBG_bott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78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5353" w:rsidRPr="00666E0B"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943600" cy="278606"/>
                        <wp:effectExtent l="19050" t="0" r="0" b="0"/>
                        <wp:docPr id="2" name="footer_decoration" descr="http://alaska.gov/images/footerBG_bott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oter_decoration" descr="http://alaska.gov/images/footerBG_bott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78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E0B" w:rsidRPr="00666E0B" w:rsidRDefault="00666E0B" w:rsidP="00666E0B"/>
    <w:p w:rsidR="00666E0B" w:rsidRPr="00666E0B" w:rsidRDefault="00666E0B" w:rsidP="00666E0B"/>
    <w:p w:rsidR="00666E0B" w:rsidRPr="00666E0B" w:rsidRDefault="00666E0B" w:rsidP="00666E0B"/>
    <w:p w:rsidR="00152370" w:rsidRDefault="00160B62" w:rsidP="00666E0B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Introduction</w:t>
      </w:r>
    </w:p>
    <w:p w:rsidR="00160B62" w:rsidRPr="00596424" w:rsidRDefault="00ED1E20" w:rsidP="00E261E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96424">
        <w:rPr>
          <w:rFonts w:asciiTheme="minorHAnsi" w:hAnsiTheme="minorHAnsi" w:cstheme="minorHAnsi"/>
          <w:sz w:val="20"/>
          <w:szCs w:val="20"/>
        </w:rPr>
        <w:t xml:space="preserve">On August 26, 2011 Governor Parnell convened a </w:t>
      </w:r>
      <w:r w:rsidR="00C5286A">
        <w:rPr>
          <w:rFonts w:asciiTheme="minorHAnsi" w:hAnsiTheme="minorHAnsi" w:cstheme="minorHAnsi"/>
          <w:sz w:val="20"/>
          <w:szCs w:val="20"/>
        </w:rPr>
        <w:t>C</w:t>
      </w:r>
      <w:r w:rsidRPr="00596424">
        <w:rPr>
          <w:rFonts w:asciiTheme="minorHAnsi" w:hAnsiTheme="minorHAnsi" w:cstheme="minorHAnsi"/>
          <w:sz w:val="20"/>
          <w:szCs w:val="20"/>
        </w:rPr>
        <w:t>abinet meeting at the State Emergency Operations Center (SEOC) to</w:t>
      </w:r>
      <w:r w:rsidR="00C5286A">
        <w:rPr>
          <w:rFonts w:asciiTheme="minorHAnsi" w:hAnsiTheme="minorHAnsi" w:cstheme="minorHAnsi"/>
          <w:sz w:val="20"/>
          <w:szCs w:val="20"/>
        </w:rPr>
        <w:t xml:space="preserve"> discuss emergency preparedness. The governor tasked</w:t>
      </w:r>
      <w:r w:rsidRPr="00596424">
        <w:rPr>
          <w:rFonts w:asciiTheme="minorHAnsi" w:hAnsiTheme="minorHAnsi" w:cstheme="minorHAnsi"/>
          <w:sz w:val="20"/>
          <w:szCs w:val="20"/>
        </w:rPr>
        <w:t xml:space="preserve"> each department to </w:t>
      </w:r>
      <w:r w:rsidR="00C5286A">
        <w:rPr>
          <w:rFonts w:asciiTheme="minorHAnsi" w:hAnsiTheme="minorHAnsi" w:cstheme="minorHAnsi"/>
          <w:sz w:val="20"/>
          <w:szCs w:val="20"/>
        </w:rPr>
        <w:t xml:space="preserve">develop its </w:t>
      </w:r>
      <w:r w:rsidR="00E261E0" w:rsidRPr="00596424">
        <w:rPr>
          <w:rFonts w:asciiTheme="minorHAnsi" w:hAnsiTheme="minorHAnsi" w:cstheme="minorHAnsi"/>
          <w:sz w:val="20"/>
          <w:szCs w:val="20"/>
        </w:rPr>
        <w:t xml:space="preserve">Continuity of Operations </w:t>
      </w:r>
      <w:r w:rsidR="00912CB0" w:rsidRPr="00596424">
        <w:rPr>
          <w:rFonts w:asciiTheme="minorHAnsi" w:hAnsiTheme="minorHAnsi" w:cstheme="minorHAnsi"/>
          <w:sz w:val="20"/>
          <w:szCs w:val="20"/>
        </w:rPr>
        <w:t>Plan (</w:t>
      </w:r>
      <w:r w:rsidR="00E261E0" w:rsidRPr="00596424">
        <w:rPr>
          <w:rFonts w:asciiTheme="minorHAnsi" w:hAnsiTheme="minorHAnsi" w:cstheme="minorHAnsi"/>
          <w:sz w:val="20"/>
          <w:szCs w:val="20"/>
        </w:rPr>
        <w:t xml:space="preserve">COOP). </w:t>
      </w:r>
      <w:r w:rsidR="0012640C">
        <w:rPr>
          <w:rFonts w:asciiTheme="minorHAnsi" w:hAnsiTheme="minorHAnsi" w:cstheme="minorHAnsi"/>
          <w:sz w:val="20"/>
          <w:szCs w:val="20"/>
        </w:rPr>
        <w:t xml:space="preserve"> </w:t>
      </w:r>
      <w:r w:rsidR="00E261E0" w:rsidRPr="00596424">
        <w:rPr>
          <w:rFonts w:asciiTheme="minorHAnsi" w:hAnsiTheme="minorHAnsi" w:cstheme="minorHAnsi"/>
          <w:sz w:val="20"/>
          <w:szCs w:val="20"/>
        </w:rPr>
        <w:t xml:space="preserve">As the </w:t>
      </w:r>
      <w:r w:rsidR="00C5286A">
        <w:rPr>
          <w:rFonts w:asciiTheme="minorHAnsi" w:hAnsiTheme="minorHAnsi" w:cstheme="minorHAnsi"/>
          <w:sz w:val="20"/>
          <w:szCs w:val="20"/>
        </w:rPr>
        <w:t xml:space="preserve">state </w:t>
      </w:r>
      <w:r w:rsidR="00E261E0" w:rsidRPr="00596424">
        <w:rPr>
          <w:rFonts w:asciiTheme="minorHAnsi" w:hAnsiTheme="minorHAnsi" w:cstheme="minorHAnsi"/>
          <w:sz w:val="20"/>
          <w:szCs w:val="20"/>
        </w:rPr>
        <w:t>subject matter experts for COOP, the Department of Military and Veteran Affairs,</w:t>
      </w:r>
      <w:r w:rsidR="006115F9">
        <w:rPr>
          <w:rFonts w:asciiTheme="minorHAnsi" w:hAnsiTheme="minorHAnsi" w:cstheme="minorHAnsi"/>
          <w:sz w:val="20"/>
          <w:szCs w:val="20"/>
        </w:rPr>
        <w:t xml:space="preserve"> Division of Homeland Security and</w:t>
      </w:r>
      <w:r w:rsidR="00E261E0" w:rsidRPr="00596424">
        <w:rPr>
          <w:rFonts w:asciiTheme="minorHAnsi" w:hAnsiTheme="minorHAnsi" w:cstheme="minorHAnsi"/>
          <w:sz w:val="20"/>
          <w:szCs w:val="20"/>
        </w:rPr>
        <w:t xml:space="preserve"> Emergency Management (DMVA/DHS&amp;EM) </w:t>
      </w:r>
      <w:r w:rsidR="00C5286A">
        <w:rPr>
          <w:rFonts w:asciiTheme="minorHAnsi" w:hAnsiTheme="minorHAnsi" w:cstheme="minorHAnsi"/>
          <w:sz w:val="20"/>
          <w:szCs w:val="20"/>
        </w:rPr>
        <w:t>will provide technical assistance to suppor</w:t>
      </w:r>
      <w:r w:rsidR="006115F9">
        <w:rPr>
          <w:rFonts w:asciiTheme="minorHAnsi" w:hAnsiTheme="minorHAnsi" w:cstheme="minorHAnsi"/>
          <w:sz w:val="20"/>
          <w:szCs w:val="20"/>
        </w:rPr>
        <w:t>t the Statewide COOP Initiative</w:t>
      </w:r>
      <w:r w:rsidR="00F00197">
        <w:rPr>
          <w:rFonts w:asciiTheme="minorHAnsi" w:hAnsiTheme="minorHAnsi" w:cstheme="minorHAnsi"/>
          <w:sz w:val="20"/>
          <w:szCs w:val="20"/>
        </w:rPr>
        <w:t xml:space="preserve"> as described in this fact sheet.</w:t>
      </w:r>
    </w:p>
    <w:p w:rsidR="00666E0B" w:rsidRPr="007E5BE1" w:rsidRDefault="00666E0B" w:rsidP="00666E0B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7E5BE1">
        <w:rPr>
          <w:rFonts w:asciiTheme="minorHAnsi" w:hAnsiTheme="minorHAnsi" w:cstheme="minorHAnsi"/>
          <w:b/>
          <w:sz w:val="28"/>
          <w:szCs w:val="28"/>
        </w:rPr>
        <w:t>The Goal for Continuity</w:t>
      </w:r>
    </w:p>
    <w:p w:rsidR="007B1EE3" w:rsidRDefault="009C70DE" w:rsidP="0070085B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Continuing essential functions</w:t>
      </w:r>
      <w:r w:rsidR="007B1EE3">
        <w:rPr>
          <w:rFonts w:asciiTheme="minorHAnsi" w:hAnsiTheme="minorHAnsi" w:cstheme="minorHAnsi"/>
          <w:sz w:val="20"/>
          <w:szCs w:val="20"/>
        </w:rPr>
        <w:t xml:space="preserve"> within state government under all conditions </w:t>
      </w:r>
      <w:r>
        <w:rPr>
          <w:rFonts w:asciiTheme="minorHAnsi" w:hAnsiTheme="minorHAnsi" w:cstheme="minorHAnsi"/>
          <w:sz w:val="20"/>
          <w:szCs w:val="20"/>
        </w:rPr>
        <w:t>is</w:t>
      </w:r>
      <w:r w:rsidR="007B1EE3">
        <w:rPr>
          <w:rFonts w:asciiTheme="minorHAnsi" w:hAnsiTheme="minorHAnsi" w:cstheme="minorHAnsi"/>
          <w:sz w:val="20"/>
          <w:szCs w:val="20"/>
        </w:rPr>
        <w:t xml:space="preserve"> t</w:t>
      </w:r>
      <w:r w:rsidR="007B1EE3" w:rsidRPr="00596424">
        <w:rPr>
          <w:rFonts w:asciiTheme="minorHAnsi" w:hAnsiTheme="minorHAnsi" w:cstheme="minorHAnsi"/>
          <w:sz w:val="20"/>
          <w:szCs w:val="20"/>
        </w:rPr>
        <w:t>he ultimate goal of</w:t>
      </w:r>
      <w:r w:rsidR="007B1EE3">
        <w:rPr>
          <w:rFonts w:asciiTheme="minorHAnsi" w:hAnsiTheme="minorHAnsi" w:cstheme="minorHAnsi"/>
          <w:sz w:val="20"/>
          <w:szCs w:val="20"/>
        </w:rPr>
        <w:t xml:space="preserve"> the Statewide Continuity of </w:t>
      </w:r>
      <w:r>
        <w:rPr>
          <w:rFonts w:asciiTheme="minorHAnsi" w:hAnsiTheme="minorHAnsi" w:cstheme="minorHAnsi"/>
          <w:sz w:val="20"/>
          <w:szCs w:val="20"/>
        </w:rPr>
        <w:t>O</w:t>
      </w:r>
      <w:r w:rsidR="00040540">
        <w:rPr>
          <w:rFonts w:asciiTheme="minorHAnsi" w:hAnsiTheme="minorHAnsi" w:cstheme="minorHAnsi"/>
          <w:sz w:val="20"/>
          <w:szCs w:val="20"/>
        </w:rPr>
        <w:t xml:space="preserve">perations Planning Initiative. </w:t>
      </w:r>
      <w:r>
        <w:rPr>
          <w:rFonts w:asciiTheme="minorHAnsi" w:hAnsiTheme="minorHAnsi" w:cstheme="minorHAnsi"/>
          <w:sz w:val="20"/>
          <w:szCs w:val="20"/>
        </w:rPr>
        <w:t xml:space="preserve">Continuity planning identifies </w:t>
      </w:r>
      <w:r w:rsidR="00160B62">
        <w:rPr>
          <w:rFonts w:asciiTheme="minorHAnsi" w:hAnsiTheme="minorHAnsi" w:cstheme="minorHAnsi"/>
          <w:sz w:val="20"/>
          <w:szCs w:val="20"/>
        </w:rPr>
        <w:t xml:space="preserve">and documents the processes to ensure the </w:t>
      </w:r>
      <w:r>
        <w:rPr>
          <w:rFonts w:asciiTheme="minorHAnsi" w:hAnsiTheme="minorHAnsi" w:cstheme="minorHAnsi"/>
          <w:sz w:val="20"/>
          <w:szCs w:val="20"/>
        </w:rPr>
        <w:t>Primary Mission Essential Functions (PMEFs) necessary during a wide range of emergencies, including localized</w:t>
      </w:r>
      <w:r w:rsidRPr="009C70DE">
        <w:rPr>
          <w:rFonts w:asciiTheme="minorHAnsi" w:hAnsiTheme="minorHAnsi" w:cstheme="minorHAnsi"/>
          <w:sz w:val="20"/>
          <w:szCs w:val="20"/>
        </w:rPr>
        <w:t xml:space="preserve"> </w:t>
      </w:r>
      <w:r w:rsidRPr="00596424">
        <w:rPr>
          <w:rFonts w:asciiTheme="minorHAnsi" w:hAnsiTheme="minorHAnsi" w:cstheme="minorHAnsi"/>
          <w:sz w:val="20"/>
          <w:szCs w:val="20"/>
        </w:rPr>
        <w:t>acts of nature, accidents and technologica</w:t>
      </w:r>
      <w:r w:rsidR="00160B62">
        <w:rPr>
          <w:rFonts w:asciiTheme="minorHAnsi" w:hAnsiTheme="minorHAnsi" w:cstheme="minorHAnsi"/>
          <w:sz w:val="20"/>
          <w:szCs w:val="20"/>
        </w:rPr>
        <w:t xml:space="preserve">l or attack-related emergencies. </w:t>
      </w:r>
      <w:r w:rsidR="006F33E8">
        <w:rPr>
          <w:rFonts w:asciiTheme="minorHAnsi" w:hAnsiTheme="minorHAnsi" w:cstheme="minorHAnsi"/>
          <w:sz w:val="20"/>
          <w:szCs w:val="20"/>
        </w:rPr>
        <w:t>As part of the governor’s initiative, e</w:t>
      </w:r>
      <w:r w:rsidR="00160B62">
        <w:rPr>
          <w:rFonts w:asciiTheme="minorHAnsi" w:hAnsiTheme="minorHAnsi" w:cstheme="minorHAnsi"/>
          <w:sz w:val="20"/>
          <w:szCs w:val="20"/>
        </w:rPr>
        <w:t xml:space="preserve">ach department </w:t>
      </w:r>
      <w:r w:rsidR="006F33E8">
        <w:rPr>
          <w:rFonts w:asciiTheme="minorHAnsi" w:hAnsiTheme="minorHAnsi" w:cstheme="minorHAnsi"/>
          <w:sz w:val="20"/>
          <w:szCs w:val="20"/>
        </w:rPr>
        <w:t>will identify</w:t>
      </w:r>
      <w:r w:rsidR="00160B62">
        <w:rPr>
          <w:rFonts w:asciiTheme="minorHAnsi" w:hAnsiTheme="minorHAnsi" w:cstheme="minorHAnsi"/>
          <w:sz w:val="20"/>
          <w:szCs w:val="20"/>
        </w:rPr>
        <w:t xml:space="preserve"> Essential Functions (EFs) and the mechanisms to continue and support those functio</w:t>
      </w:r>
      <w:r w:rsidR="00F00197">
        <w:rPr>
          <w:rFonts w:asciiTheme="minorHAnsi" w:hAnsiTheme="minorHAnsi" w:cstheme="minorHAnsi"/>
          <w:sz w:val="20"/>
          <w:szCs w:val="20"/>
        </w:rPr>
        <w:t>ns during an emergency or event.</w:t>
      </w:r>
      <w:r w:rsidR="00F00197" w:rsidRPr="00F00197">
        <w:rPr>
          <w:rFonts w:asciiTheme="minorHAnsi" w:hAnsiTheme="minorHAnsi" w:cstheme="minorHAnsi"/>
          <w:sz w:val="20"/>
          <w:szCs w:val="20"/>
        </w:rPr>
        <w:t xml:space="preserve"> </w:t>
      </w:r>
      <w:r w:rsidR="00F00197" w:rsidRPr="00596424">
        <w:rPr>
          <w:rFonts w:asciiTheme="minorHAnsi" w:hAnsiTheme="minorHAnsi" w:cstheme="minorHAnsi"/>
          <w:sz w:val="20"/>
          <w:szCs w:val="20"/>
        </w:rPr>
        <w:t xml:space="preserve">The plan </w:t>
      </w:r>
      <w:r w:rsidR="00F00197">
        <w:rPr>
          <w:rFonts w:asciiTheme="minorHAnsi" w:hAnsiTheme="minorHAnsi" w:cstheme="minorHAnsi"/>
          <w:sz w:val="20"/>
          <w:szCs w:val="20"/>
        </w:rPr>
        <w:t xml:space="preserve">itself </w:t>
      </w:r>
      <w:r w:rsidR="00F00197" w:rsidRPr="00596424">
        <w:rPr>
          <w:rFonts w:asciiTheme="minorHAnsi" w:hAnsiTheme="minorHAnsi" w:cstheme="minorHAnsi"/>
          <w:sz w:val="20"/>
          <w:szCs w:val="20"/>
        </w:rPr>
        <w:t>should be a “living” document that is regu</w:t>
      </w:r>
      <w:r w:rsidR="00F00197">
        <w:rPr>
          <w:rFonts w:asciiTheme="minorHAnsi" w:hAnsiTheme="minorHAnsi" w:cstheme="minorHAnsi"/>
          <w:sz w:val="20"/>
          <w:szCs w:val="20"/>
        </w:rPr>
        <w:t>larly exercised, trained toward</w:t>
      </w:r>
      <w:r w:rsidR="00F00197" w:rsidRPr="00596424">
        <w:rPr>
          <w:rFonts w:asciiTheme="minorHAnsi" w:hAnsiTheme="minorHAnsi" w:cstheme="minorHAnsi"/>
          <w:sz w:val="20"/>
          <w:szCs w:val="20"/>
        </w:rPr>
        <w:t xml:space="preserve">, </w:t>
      </w:r>
      <w:r w:rsidR="00F00197">
        <w:rPr>
          <w:rFonts w:asciiTheme="minorHAnsi" w:hAnsiTheme="minorHAnsi" w:cstheme="minorHAnsi"/>
          <w:sz w:val="20"/>
          <w:szCs w:val="20"/>
        </w:rPr>
        <w:t>and updated as organizational</w:t>
      </w:r>
      <w:r w:rsidR="00F00197" w:rsidRPr="00596424">
        <w:rPr>
          <w:rFonts w:asciiTheme="minorHAnsi" w:hAnsiTheme="minorHAnsi" w:cstheme="minorHAnsi"/>
          <w:sz w:val="20"/>
          <w:szCs w:val="20"/>
        </w:rPr>
        <w:t xml:space="preserve"> processes</w:t>
      </w:r>
      <w:r w:rsidR="00F00197">
        <w:rPr>
          <w:rFonts w:asciiTheme="minorHAnsi" w:hAnsiTheme="minorHAnsi" w:cstheme="minorHAnsi"/>
          <w:sz w:val="20"/>
          <w:szCs w:val="20"/>
        </w:rPr>
        <w:t>, programs,</w:t>
      </w:r>
      <w:r w:rsidR="00F00197" w:rsidRPr="00596424">
        <w:rPr>
          <w:rFonts w:asciiTheme="minorHAnsi" w:hAnsiTheme="minorHAnsi" w:cstheme="minorHAnsi"/>
          <w:sz w:val="20"/>
          <w:szCs w:val="20"/>
        </w:rPr>
        <w:t xml:space="preserve"> </w:t>
      </w:r>
      <w:r w:rsidR="00F00197">
        <w:rPr>
          <w:rFonts w:asciiTheme="minorHAnsi" w:hAnsiTheme="minorHAnsi" w:cstheme="minorHAnsi"/>
          <w:sz w:val="20"/>
          <w:szCs w:val="20"/>
        </w:rPr>
        <w:t xml:space="preserve">and staffing </w:t>
      </w:r>
      <w:r w:rsidR="00F00197" w:rsidRPr="00596424">
        <w:rPr>
          <w:rFonts w:asciiTheme="minorHAnsi" w:hAnsiTheme="minorHAnsi" w:cstheme="minorHAnsi"/>
          <w:sz w:val="20"/>
          <w:szCs w:val="20"/>
        </w:rPr>
        <w:t>change.</w:t>
      </w:r>
      <w:r w:rsidR="00F0019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66E0B" w:rsidRPr="007E5BE1" w:rsidRDefault="00F97213" w:rsidP="00666E0B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COOP Planning Process</w:t>
      </w:r>
      <w:r w:rsidR="00CF3F52">
        <w:rPr>
          <w:rFonts w:asciiTheme="minorHAnsi" w:hAnsiTheme="minorHAnsi" w:cstheme="minorHAnsi"/>
          <w:b/>
          <w:sz w:val="28"/>
          <w:szCs w:val="28"/>
        </w:rPr>
        <w:t xml:space="preserve"> Assumptions</w:t>
      </w:r>
    </w:p>
    <w:p w:rsidR="0070085B" w:rsidRPr="00596424" w:rsidRDefault="00155F86" w:rsidP="00F00197">
      <w:pPr>
        <w:pStyle w:val="Normal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Basic</w:t>
      </w:r>
      <w:r w:rsidR="0070085B" w:rsidRPr="00596424">
        <w:rPr>
          <w:rFonts w:asciiTheme="minorHAnsi" w:hAnsiTheme="minorHAnsi" w:cstheme="minorHAnsi"/>
          <w:sz w:val="20"/>
          <w:szCs w:val="20"/>
        </w:rPr>
        <w:t xml:space="preserve"> assumptions </w:t>
      </w:r>
      <w:r w:rsidR="00160B62">
        <w:rPr>
          <w:rFonts w:asciiTheme="minorHAnsi" w:hAnsiTheme="minorHAnsi" w:cstheme="minorHAnsi"/>
          <w:sz w:val="20"/>
          <w:szCs w:val="20"/>
        </w:rPr>
        <w:t>of the Statewide COOP</w:t>
      </w:r>
      <w:r w:rsidR="006F33E8">
        <w:rPr>
          <w:rFonts w:asciiTheme="minorHAnsi" w:hAnsiTheme="minorHAnsi" w:cstheme="minorHAnsi"/>
          <w:sz w:val="20"/>
          <w:szCs w:val="20"/>
        </w:rPr>
        <w:t xml:space="preserve"> Initiative</w:t>
      </w:r>
      <w:r w:rsidR="0070085B" w:rsidRPr="00596424">
        <w:rPr>
          <w:rFonts w:asciiTheme="minorHAnsi" w:hAnsiTheme="minorHAnsi" w:cstheme="minorHAnsi"/>
          <w:sz w:val="20"/>
          <w:szCs w:val="20"/>
        </w:rPr>
        <w:t>:</w:t>
      </w:r>
    </w:p>
    <w:p w:rsidR="00155F86" w:rsidRPr="00155F86" w:rsidRDefault="00155F86" w:rsidP="0070085B">
      <w:pPr>
        <w:pStyle w:val="NoSpacing"/>
        <w:numPr>
          <w:ilvl w:val="0"/>
          <w:numId w:val="1"/>
        </w:numPr>
        <w:spacing w:after="80"/>
        <w:rPr>
          <w:rFonts w:cstheme="minorHAnsi"/>
          <w:sz w:val="20"/>
          <w:szCs w:val="20"/>
        </w:rPr>
      </w:pPr>
      <w:r w:rsidRPr="00155F86">
        <w:rPr>
          <w:sz w:val="20"/>
          <w:szCs w:val="20"/>
        </w:rPr>
        <w:t xml:space="preserve">Each department </w:t>
      </w:r>
      <w:r w:rsidR="00F00197">
        <w:rPr>
          <w:sz w:val="20"/>
          <w:szCs w:val="20"/>
        </w:rPr>
        <w:t>will</w:t>
      </w:r>
      <w:r w:rsidRPr="00155F86">
        <w:rPr>
          <w:sz w:val="20"/>
          <w:szCs w:val="20"/>
        </w:rPr>
        <w:t xml:space="preserve"> </w:t>
      </w:r>
      <w:r w:rsidR="00F00197">
        <w:rPr>
          <w:sz w:val="20"/>
          <w:szCs w:val="20"/>
        </w:rPr>
        <w:t xml:space="preserve">designate a </w:t>
      </w:r>
      <w:r w:rsidR="008C47A9">
        <w:rPr>
          <w:sz w:val="20"/>
          <w:szCs w:val="20"/>
        </w:rPr>
        <w:t>COOP planning lead</w:t>
      </w:r>
      <w:r w:rsidRPr="00155F86">
        <w:rPr>
          <w:sz w:val="20"/>
          <w:szCs w:val="20"/>
        </w:rPr>
        <w:t xml:space="preserve">.  </w:t>
      </w:r>
    </w:p>
    <w:p w:rsidR="00160B62" w:rsidRPr="00160B62" w:rsidRDefault="00160B62" w:rsidP="0070085B">
      <w:pPr>
        <w:pStyle w:val="NoSpacing"/>
        <w:numPr>
          <w:ilvl w:val="0"/>
          <w:numId w:val="1"/>
        </w:numPr>
        <w:spacing w:after="80"/>
        <w:rPr>
          <w:sz w:val="20"/>
          <w:szCs w:val="20"/>
        </w:rPr>
      </w:pPr>
      <w:r w:rsidRPr="00155F86">
        <w:rPr>
          <w:rFonts w:cstheme="minorHAnsi"/>
          <w:sz w:val="20"/>
          <w:szCs w:val="20"/>
        </w:rPr>
        <w:t xml:space="preserve">This </w:t>
      </w:r>
      <w:r w:rsidR="008C47A9">
        <w:rPr>
          <w:rFonts w:cstheme="minorHAnsi"/>
          <w:sz w:val="20"/>
          <w:szCs w:val="20"/>
        </w:rPr>
        <w:t>fact sheet</w:t>
      </w:r>
      <w:r w:rsidR="00BB153E">
        <w:rPr>
          <w:rFonts w:cstheme="minorHAnsi"/>
          <w:sz w:val="20"/>
          <w:szCs w:val="20"/>
        </w:rPr>
        <w:t xml:space="preserve"> is intended for the </w:t>
      </w:r>
      <w:r w:rsidR="008C47A9">
        <w:rPr>
          <w:sz w:val="20"/>
          <w:szCs w:val="20"/>
        </w:rPr>
        <w:t>COOP planning lead</w:t>
      </w:r>
      <w:r w:rsidR="008C47A9">
        <w:rPr>
          <w:rFonts w:cstheme="minorHAnsi"/>
          <w:sz w:val="20"/>
          <w:szCs w:val="20"/>
        </w:rPr>
        <w:t xml:space="preserve">. </w:t>
      </w:r>
    </w:p>
    <w:p w:rsidR="008C47A9" w:rsidRDefault="00BB153E" w:rsidP="0070085B">
      <w:pPr>
        <w:pStyle w:val="NoSpacing"/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>E</w:t>
      </w:r>
      <w:r w:rsidRPr="00596424">
        <w:rPr>
          <w:sz w:val="20"/>
          <w:szCs w:val="20"/>
        </w:rPr>
        <w:t xml:space="preserve">ach </w:t>
      </w:r>
      <w:r>
        <w:rPr>
          <w:sz w:val="20"/>
          <w:szCs w:val="20"/>
        </w:rPr>
        <w:t>department</w:t>
      </w:r>
      <w:r w:rsidRPr="00596424">
        <w:rPr>
          <w:sz w:val="20"/>
          <w:szCs w:val="20"/>
        </w:rPr>
        <w:t xml:space="preserve"> </w:t>
      </w:r>
      <w:r w:rsidR="008C47A9">
        <w:rPr>
          <w:sz w:val="20"/>
          <w:szCs w:val="20"/>
        </w:rPr>
        <w:t>will</w:t>
      </w:r>
      <w:r w:rsidRPr="00596424">
        <w:rPr>
          <w:sz w:val="20"/>
          <w:szCs w:val="20"/>
        </w:rPr>
        <w:t xml:space="preserve"> dev</w:t>
      </w:r>
      <w:r w:rsidR="00F97213">
        <w:rPr>
          <w:sz w:val="20"/>
          <w:szCs w:val="20"/>
        </w:rPr>
        <w:t xml:space="preserve">elop and author </w:t>
      </w:r>
      <w:r>
        <w:rPr>
          <w:sz w:val="20"/>
          <w:szCs w:val="20"/>
        </w:rPr>
        <w:t>its COOP</w:t>
      </w:r>
      <w:r w:rsidRPr="00596424">
        <w:rPr>
          <w:sz w:val="20"/>
          <w:szCs w:val="20"/>
        </w:rPr>
        <w:t xml:space="preserve"> plan</w:t>
      </w:r>
      <w:r>
        <w:rPr>
          <w:sz w:val="20"/>
          <w:szCs w:val="20"/>
        </w:rPr>
        <w:t xml:space="preserve">. </w:t>
      </w:r>
      <w:r w:rsidR="008C47A9">
        <w:rPr>
          <w:sz w:val="20"/>
          <w:szCs w:val="20"/>
        </w:rPr>
        <w:t>The plan must incorporate essential functions of diverse or specialized divisions.</w:t>
      </w:r>
    </w:p>
    <w:p w:rsidR="008C47A9" w:rsidRDefault="008C47A9" w:rsidP="0070085B">
      <w:pPr>
        <w:pStyle w:val="NoSpacing"/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Each department will convene one or more COOP working group, coordinated by the </w:t>
      </w:r>
      <w:r w:rsidR="00F97213">
        <w:rPr>
          <w:sz w:val="20"/>
          <w:szCs w:val="20"/>
        </w:rPr>
        <w:t xml:space="preserve">departmental </w:t>
      </w:r>
      <w:r>
        <w:rPr>
          <w:sz w:val="20"/>
          <w:szCs w:val="20"/>
        </w:rPr>
        <w:t>COOP planning lead.</w:t>
      </w:r>
    </w:p>
    <w:p w:rsidR="00BB153E" w:rsidRDefault="008C47A9" w:rsidP="0070085B">
      <w:pPr>
        <w:pStyle w:val="NoSpacing"/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>Departments</w:t>
      </w:r>
      <w:r w:rsidR="00BB153E">
        <w:rPr>
          <w:sz w:val="20"/>
          <w:szCs w:val="20"/>
        </w:rPr>
        <w:t xml:space="preserve"> may develop one or more division COOP plans where appropriate.</w:t>
      </w:r>
      <w:r>
        <w:rPr>
          <w:sz w:val="20"/>
          <w:szCs w:val="20"/>
        </w:rPr>
        <w:t xml:space="preserve"> </w:t>
      </w:r>
    </w:p>
    <w:p w:rsidR="008C47A9" w:rsidRDefault="0070085B" w:rsidP="0070085B">
      <w:pPr>
        <w:pStyle w:val="NoSpacing"/>
        <w:numPr>
          <w:ilvl w:val="0"/>
          <w:numId w:val="1"/>
        </w:numPr>
        <w:spacing w:after="80"/>
        <w:rPr>
          <w:sz w:val="20"/>
          <w:szCs w:val="20"/>
        </w:rPr>
      </w:pPr>
      <w:r w:rsidRPr="00BB153E">
        <w:rPr>
          <w:sz w:val="20"/>
          <w:szCs w:val="20"/>
        </w:rPr>
        <w:t>DMVA/DHS&amp;EM is the subject matter expert in COOP plannin</w:t>
      </w:r>
      <w:r w:rsidR="00BB153E">
        <w:rPr>
          <w:sz w:val="20"/>
          <w:szCs w:val="20"/>
        </w:rPr>
        <w:t xml:space="preserve">g; not the author of the plan. </w:t>
      </w:r>
    </w:p>
    <w:p w:rsidR="00F97213" w:rsidRPr="00F97213" w:rsidRDefault="008C47A9" w:rsidP="00F97213">
      <w:pPr>
        <w:pStyle w:val="NoSpacing"/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>Training and technical assistance will be facilitated by DMVA/DHS&amp;EM.</w:t>
      </w:r>
    </w:p>
    <w:p w:rsidR="00F97213" w:rsidRDefault="00F97213" w:rsidP="00F97213">
      <w:pPr>
        <w:pStyle w:val="NoSpacing"/>
        <w:spacing w:after="80"/>
        <w:ind w:left="720"/>
        <w:rPr>
          <w:b/>
          <w:color w:val="262626" w:themeColor="text1" w:themeTint="D9"/>
          <w:sz w:val="28"/>
          <w:szCs w:val="28"/>
        </w:rPr>
      </w:pPr>
    </w:p>
    <w:p w:rsidR="00AD6498" w:rsidRPr="00CF3F52" w:rsidRDefault="00F97213" w:rsidP="00CF3F52">
      <w:pPr>
        <w:rPr>
          <w:b/>
          <w:color w:val="262626" w:themeColor="text1" w:themeTint="D9"/>
          <w:sz w:val="28"/>
          <w:szCs w:val="28"/>
        </w:rPr>
      </w:pPr>
      <w:r w:rsidRPr="00CF3F52">
        <w:rPr>
          <w:b/>
          <w:color w:val="262626" w:themeColor="text1" w:themeTint="D9"/>
          <w:sz w:val="28"/>
          <w:szCs w:val="28"/>
        </w:rPr>
        <w:t>Training and Technical Assistance</w:t>
      </w:r>
    </w:p>
    <w:p w:rsidR="007F1B11" w:rsidRDefault="00F97213" w:rsidP="007F1B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support departmental COOP planning leads and their department working groups, DMVA/DHS&amp;EM is providing training and </w:t>
      </w:r>
      <w:r w:rsidR="00AD6498" w:rsidRPr="00596424">
        <w:rPr>
          <w:rFonts w:asciiTheme="minorHAnsi" w:hAnsiTheme="minorHAnsi" w:cstheme="minorHAnsi"/>
          <w:sz w:val="20"/>
          <w:szCs w:val="20"/>
        </w:rPr>
        <w:t xml:space="preserve">technical assistance </w:t>
      </w:r>
      <w:r w:rsidR="00BB153E" w:rsidRPr="00596424">
        <w:rPr>
          <w:rFonts w:asciiTheme="minorHAnsi" w:hAnsiTheme="minorHAnsi" w:cstheme="minorHAnsi"/>
          <w:sz w:val="20"/>
          <w:szCs w:val="20"/>
        </w:rPr>
        <w:t>based on current best practices</w:t>
      </w:r>
      <w:r w:rsidR="007039AB">
        <w:rPr>
          <w:rFonts w:asciiTheme="minorHAnsi" w:hAnsiTheme="minorHAnsi" w:cstheme="minorHAnsi"/>
          <w:sz w:val="20"/>
          <w:szCs w:val="20"/>
        </w:rPr>
        <w:t xml:space="preserve">. </w:t>
      </w:r>
      <w:r w:rsidR="00445D61">
        <w:rPr>
          <w:rFonts w:asciiTheme="minorHAnsi" w:hAnsiTheme="minorHAnsi" w:cstheme="minorHAnsi"/>
          <w:sz w:val="20"/>
          <w:szCs w:val="20"/>
        </w:rPr>
        <w:t xml:space="preserve">All contractors and </w:t>
      </w:r>
      <w:r w:rsidR="007F1B11">
        <w:rPr>
          <w:rFonts w:asciiTheme="minorHAnsi" w:hAnsiTheme="minorHAnsi" w:cstheme="minorHAnsi"/>
          <w:sz w:val="20"/>
          <w:szCs w:val="20"/>
        </w:rPr>
        <w:t>COOP subject matter experts will use</w:t>
      </w:r>
      <w:r w:rsidR="00445D61">
        <w:rPr>
          <w:rFonts w:asciiTheme="minorHAnsi" w:hAnsiTheme="minorHAnsi" w:cstheme="minorHAnsi"/>
          <w:sz w:val="20"/>
          <w:szCs w:val="20"/>
        </w:rPr>
        <w:t xml:space="preserve"> standardized</w:t>
      </w:r>
      <w:r w:rsidR="007F1B11">
        <w:rPr>
          <w:rFonts w:asciiTheme="minorHAnsi" w:hAnsiTheme="minorHAnsi" w:cstheme="minorHAnsi"/>
          <w:sz w:val="20"/>
          <w:szCs w:val="20"/>
        </w:rPr>
        <w:t xml:space="preserve"> materials and processes from the</w:t>
      </w:r>
      <w:r w:rsidR="007F1B11" w:rsidRPr="00596424">
        <w:rPr>
          <w:rFonts w:asciiTheme="minorHAnsi" w:hAnsiTheme="minorHAnsi" w:cstheme="minorHAnsi"/>
          <w:sz w:val="20"/>
          <w:szCs w:val="20"/>
        </w:rPr>
        <w:t xml:space="preserve"> Department of Homeland Security/ Federal Em</w:t>
      </w:r>
      <w:r w:rsidR="007F1B11">
        <w:rPr>
          <w:rFonts w:asciiTheme="minorHAnsi" w:hAnsiTheme="minorHAnsi" w:cstheme="minorHAnsi"/>
          <w:sz w:val="20"/>
          <w:szCs w:val="20"/>
        </w:rPr>
        <w:t>ergency Management Agency (DHS/</w:t>
      </w:r>
      <w:r w:rsidR="007F1B11" w:rsidRPr="00596424">
        <w:rPr>
          <w:rFonts w:asciiTheme="minorHAnsi" w:hAnsiTheme="minorHAnsi" w:cstheme="minorHAnsi"/>
          <w:sz w:val="20"/>
          <w:szCs w:val="20"/>
        </w:rPr>
        <w:t>FEMA) Continuity Offices</w:t>
      </w:r>
      <w:r w:rsidR="007F1B11">
        <w:rPr>
          <w:rFonts w:asciiTheme="minorHAnsi" w:hAnsiTheme="minorHAnsi" w:cstheme="minorHAnsi"/>
          <w:sz w:val="20"/>
          <w:szCs w:val="20"/>
        </w:rPr>
        <w:t>.</w:t>
      </w:r>
    </w:p>
    <w:p w:rsidR="00912CB0" w:rsidRPr="00445D61" w:rsidRDefault="00B97434" w:rsidP="00B97434">
      <w:pPr>
        <w:pStyle w:val="Normal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445D61">
        <w:rPr>
          <w:rFonts w:asciiTheme="minorHAnsi" w:hAnsiTheme="minorHAnsi" w:cstheme="minorHAnsi"/>
          <w:sz w:val="20"/>
          <w:szCs w:val="20"/>
        </w:rPr>
        <w:lastRenderedPageBreak/>
        <w:t xml:space="preserve">The following </w:t>
      </w:r>
      <w:r w:rsidR="00445D61" w:rsidRPr="00445D61">
        <w:rPr>
          <w:rFonts w:asciiTheme="minorHAnsi" w:hAnsiTheme="minorHAnsi" w:cstheme="minorHAnsi"/>
          <w:sz w:val="20"/>
          <w:szCs w:val="20"/>
        </w:rPr>
        <w:t xml:space="preserve">training and </w:t>
      </w:r>
      <w:r w:rsidRPr="00445D61">
        <w:rPr>
          <w:rFonts w:asciiTheme="minorHAnsi" w:hAnsiTheme="minorHAnsi" w:cstheme="minorHAnsi"/>
          <w:sz w:val="20"/>
          <w:szCs w:val="20"/>
        </w:rPr>
        <w:t>technical assistance is available:</w:t>
      </w:r>
    </w:p>
    <w:p w:rsidR="00445D61" w:rsidRDefault="00445D61" w:rsidP="00445D61">
      <w:pPr>
        <w:pStyle w:val="NormalWeb"/>
        <w:numPr>
          <w:ilvl w:val="0"/>
          <w:numId w:val="8"/>
        </w:numPr>
        <w:spacing w:before="120" w:beforeAutospacing="0"/>
        <w:rPr>
          <w:rFonts w:asciiTheme="minorHAnsi" w:hAnsiTheme="minorHAnsi" w:cstheme="minorHAnsi"/>
          <w:sz w:val="20"/>
          <w:szCs w:val="20"/>
        </w:rPr>
      </w:pPr>
      <w:r w:rsidRPr="00445D61">
        <w:rPr>
          <w:rFonts w:asciiTheme="minorHAnsi" w:hAnsiTheme="minorHAnsi" w:cstheme="minorHAnsi"/>
          <w:b/>
          <w:sz w:val="20"/>
          <w:szCs w:val="20"/>
        </w:rPr>
        <w:t>Continuity of Operations Planning Workshop (3 days)</w:t>
      </w:r>
      <w:r w:rsidRPr="00387C76">
        <w:rPr>
          <w:rFonts w:asciiTheme="minorHAnsi" w:hAnsiTheme="minorHAnsi" w:cstheme="minorHAnsi"/>
          <w:sz w:val="20"/>
          <w:szCs w:val="20"/>
        </w:rPr>
        <w:t>.</w:t>
      </w:r>
      <w:r w:rsidRPr="00445D61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Essentials of COOP planning, intended for COOP planning lead, authors of the plan, and planning team members (where appropriate).</w:t>
      </w:r>
    </w:p>
    <w:p w:rsidR="00445D61" w:rsidRPr="00445D61" w:rsidRDefault="00B97434" w:rsidP="00445D61">
      <w:pPr>
        <w:pStyle w:val="NormalWeb"/>
        <w:numPr>
          <w:ilvl w:val="0"/>
          <w:numId w:val="8"/>
        </w:numPr>
        <w:spacing w:before="120" w:beforeAutospacing="0"/>
        <w:rPr>
          <w:rFonts w:asciiTheme="minorHAnsi" w:hAnsiTheme="minorHAnsi" w:cstheme="minorHAnsi"/>
          <w:sz w:val="20"/>
          <w:szCs w:val="20"/>
        </w:rPr>
      </w:pPr>
      <w:r w:rsidRPr="00445D61">
        <w:rPr>
          <w:rFonts w:asciiTheme="minorHAnsi" w:hAnsiTheme="minorHAnsi" w:cstheme="minorHAnsi"/>
          <w:b/>
          <w:sz w:val="20"/>
          <w:szCs w:val="20"/>
        </w:rPr>
        <w:t>T</w:t>
      </w:r>
      <w:r w:rsidR="00912CB0" w:rsidRPr="00445D61">
        <w:rPr>
          <w:rFonts w:asciiTheme="minorHAnsi" w:hAnsiTheme="minorHAnsi" w:cstheme="minorHAnsi"/>
          <w:b/>
          <w:sz w:val="20"/>
          <w:szCs w:val="20"/>
        </w:rPr>
        <w:t xml:space="preserve">echnical </w:t>
      </w:r>
      <w:r w:rsidR="00445D61">
        <w:rPr>
          <w:rFonts w:asciiTheme="minorHAnsi" w:hAnsiTheme="minorHAnsi" w:cstheme="minorHAnsi"/>
          <w:b/>
          <w:sz w:val="20"/>
          <w:szCs w:val="20"/>
        </w:rPr>
        <w:t>C</w:t>
      </w:r>
      <w:r w:rsidR="00912CB0" w:rsidRPr="00445D61">
        <w:rPr>
          <w:rFonts w:asciiTheme="minorHAnsi" w:hAnsiTheme="minorHAnsi" w:cstheme="minorHAnsi"/>
          <w:b/>
          <w:sz w:val="20"/>
          <w:szCs w:val="20"/>
        </w:rPr>
        <w:t xml:space="preserve">ontinuity </w:t>
      </w:r>
      <w:r w:rsidR="00445D61">
        <w:rPr>
          <w:rFonts w:asciiTheme="minorHAnsi" w:hAnsiTheme="minorHAnsi" w:cstheme="minorHAnsi"/>
          <w:b/>
          <w:sz w:val="20"/>
          <w:szCs w:val="20"/>
        </w:rPr>
        <w:t>G</w:t>
      </w:r>
      <w:r w:rsidR="00912CB0" w:rsidRPr="00445D61">
        <w:rPr>
          <w:rFonts w:asciiTheme="minorHAnsi" w:hAnsiTheme="minorHAnsi" w:cstheme="minorHAnsi"/>
          <w:b/>
          <w:sz w:val="20"/>
          <w:szCs w:val="20"/>
        </w:rPr>
        <w:t>uidance</w:t>
      </w:r>
      <w:r w:rsidR="00912CB0" w:rsidRPr="00387C76">
        <w:rPr>
          <w:rFonts w:asciiTheme="minorHAnsi" w:hAnsiTheme="minorHAnsi" w:cstheme="minorHAnsi"/>
          <w:sz w:val="20"/>
          <w:szCs w:val="20"/>
        </w:rPr>
        <w:t>.</w:t>
      </w:r>
      <w:r w:rsidR="00445D61" w:rsidRPr="00387C76">
        <w:rPr>
          <w:rFonts w:asciiTheme="minorHAnsi" w:hAnsiTheme="minorHAnsi" w:cstheme="minorHAnsi"/>
          <w:sz w:val="20"/>
          <w:szCs w:val="20"/>
        </w:rPr>
        <w:br/>
      </w:r>
      <w:r w:rsidR="00445D61">
        <w:rPr>
          <w:rFonts w:asciiTheme="minorHAnsi" w:hAnsiTheme="minorHAnsi" w:cstheme="minorHAnsi"/>
          <w:sz w:val="20"/>
          <w:szCs w:val="20"/>
        </w:rPr>
        <w:t xml:space="preserve">Technical assistance to support departmental COOP planning team as they develop and complete departmental COOP plan. </w:t>
      </w:r>
    </w:p>
    <w:p w:rsidR="00445D61" w:rsidRPr="00387C76" w:rsidRDefault="00387C76" w:rsidP="00387C76">
      <w:pPr>
        <w:pStyle w:val="NormalWeb"/>
        <w:numPr>
          <w:ilvl w:val="0"/>
          <w:numId w:val="8"/>
        </w:numPr>
        <w:spacing w:before="120" w:before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Facilitation of</w:t>
      </w:r>
      <w:r w:rsidR="00445D61">
        <w:rPr>
          <w:rFonts w:asciiTheme="minorHAnsi" w:hAnsiTheme="minorHAnsi" w:cstheme="minorHAnsi"/>
          <w:b/>
          <w:sz w:val="20"/>
          <w:szCs w:val="20"/>
        </w:rPr>
        <w:t xml:space="preserve"> departmental </w:t>
      </w:r>
      <w:r w:rsidR="007F1B11" w:rsidRPr="00445D61">
        <w:rPr>
          <w:rFonts w:asciiTheme="minorHAnsi" w:hAnsiTheme="minorHAnsi" w:cstheme="minorHAnsi"/>
          <w:b/>
          <w:sz w:val="20"/>
          <w:szCs w:val="20"/>
        </w:rPr>
        <w:t>follow-</w:t>
      </w:r>
      <w:r w:rsidR="00912CB0" w:rsidRPr="00445D61">
        <w:rPr>
          <w:rFonts w:asciiTheme="minorHAnsi" w:hAnsiTheme="minorHAnsi" w:cstheme="minorHAnsi"/>
          <w:b/>
          <w:sz w:val="20"/>
          <w:szCs w:val="20"/>
        </w:rPr>
        <w:t>on meetings with COOP workgroup</w:t>
      </w:r>
      <w:r w:rsidR="007F1B11" w:rsidRPr="00445D61">
        <w:rPr>
          <w:rFonts w:asciiTheme="minorHAnsi" w:hAnsiTheme="minorHAnsi" w:cstheme="minorHAnsi"/>
          <w:b/>
          <w:sz w:val="20"/>
          <w:szCs w:val="20"/>
        </w:rPr>
        <w:t>s</w:t>
      </w:r>
      <w:r w:rsidR="00912CB0" w:rsidRPr="00387C7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External facilitators allow the workgroup to actively participate in planning and provide expertise in COOP fundamentals.</w:t>
      </w:r>
    </w:p>
    <w:p w:rsidR="00912CB0" w:rsidRPr="00387C76" w:rsidRDefault="007F1B11" w:rsidP="00387C76">
      <w:pPr>
        <w:pStyle w:val="NormalWeb"/>
        <w:numPr>
          <w:ilvl w:val="0"/>
          <w:numId w:val="8"/>
        </w:numPr>
        <w:spacing w:before="120" w:beforeAutospacing="0"/>
        <w:rPr>
          <w:rFonts w:asciiTheme="minorHAnsi" w:hAnsiTheme="minorHAnsi" w:cstheme="minorHAnsi"/>
          <w:sz w:val="20"/>
          <w:szCs w:val="20"/>
        </w:rPr>
      </w:pPr>
      <w:r w:rsidRPr="00445D61">
        <w:rPr>
          <w:rFonts w:asciiTheme="minorHAnsi" w:hAnsiTheme="minorHAnsi" w:cstheme="minorHAnsi"/>
          <w:b/>
          <w:sz w:val="20"/>
          <w:szCs w:val="20"/>
        </w:rPr>
        <w:t xml:space="preserve">COOP </w:t>
      </w:r>
      <w:r w:rsidR="00912CB0" w:rsidRPr="00445D61">
        <w:rPr>
          <w:rFonts w:asciiTheme="minorHAnsi" w:hAnsiTheme="minorHAnsi" w:cstheme="minorHAnsi"/>
          <w:b/>
          <w:sz w:val="20"/>
          <w:szCs w:val="20"/>
        </w:rPr>
        <w:t xml:space="preserve">Plan </w:t>
      </w:r>
      <w:r w:rsidR="00387C76">
        <w:rPr>
          <w:rFonts w:asciiTheme="minorHAnsi" w:hAnsiTheme="minorHAnsi" w:cstheme="minorHAnsi"/>
          <w:b/>
          <w:sz w:val="20"/>
          <w:szCs w:val="20"/>
        </w:rPr>
        <w:t>R</w:t>
      </w:r>
      <w:r w:rsidR="00912CB0" w:rsidRPr="00445D61">
        <w:rPr>
          <w:rFonts w:asciiTheme="minorHAnsi" w:hAnsiTheme="minorHAnsi" w:cstheme="minorHAnsi"/>
          <w:b/>
          <w:sz w:val="20"/>
          <w:szCs w:val="20"/>
        </w:rPr>
        <w:t>eview</w:t>
      </w:r>
      <w:r w:rsidR="00387C76" w:rsidRPr="00387C76">
        <w:rPr>
          <w:rFonts w:asciiTheme="minorHAnsi" w:hAnsiTheme="minorHAnsi" w:cstheme="minorHAnsi"/>
          <w:sz w:val="20"/>
          <w:szCs w:val="20"/>
        </w:rPr>
        <w:t>.</w:t>
      </w:r>
      <w:r w:rsidR="00912CB0" w:rsidRPr="00387C76">
        <w:rPr>
          <w:rFonts w:asciiTheme="minorHAnsi" w:hAnsiTheme="minorHAnsi" w:cstheme="minorHAnsi"/>
          <w:sz w:val="20"/>
          <w:szCs w:val="20"/>
        </w:rPr>
        <w:t xml:space="preserve"> </w:t>
      </w:r>
      <w:r w:rsidR="00387C76">
        <w:rPr>
          <w:rFonts w:asciiTheme="minorHAnsi" w:hAnsiTheme="minorHAnsi" w:cstheme="minorHAnsi"/>
          <w:sz w:val="20"/>
          <w:szCs w:val="20"/>
        </w:rPr>
        <w:br/>
        <w:t>As part of the</w:t>
      </w:r>
      <w:r w:rsidR="00912CB0" w:rsidRPr="00387C76">
        <w:rPr>
          <w:rFonts w:asciiTheme="minorHAnsi" w:hAnsiTheme="minorHAnsi" w:cstheme="minorHAnsi"/>
          <w:sz w:val="20"/>
          <w:szCs w:val="20"/>
        </w:rPr>
        <w:t xml:space="preserve"> </w:t>
      </w:r>
      <w:r w:rsidR="00387C76">
        <w:rPr>
          <w:rFonts w:asciiTheme="minorHAnsi" w:hAnsiTheme="minorHAnsi" w:cstheme="minorHAnsi"/>
          <w:sz w:val="20"/>
          <w:szCs w:val="20"/>
        </w:rPr>
        <w:t xml:space="preserve">promulgation process, the </w:t>
      </w:r>
      <w:r w:rsidR="00912CB0" w:rsidRPr="00387C76">
        <w:rPr>
          <w:rFonts w:asciiTheme="minorHAnsi" w:hAnsiTheme="minorHAnsi" w:cstheme="minorHAnsi"/>
          <w:sz w:val="20"/>
          <w:szCs w:val="20"/>
        </w:rPr>
        <w:t>State Emergency Response Commission (SERC) Al</w:t>
      </w:r>
      <w:r w:rsidR="00387C76">
        <w:rPr>
          <w:rFonts w:asciiTheme="minorHAnsi" w:hAnsiTheme="minorHAnsi" w:cstheme="minorHAnsi"/>
          <w:sz w:val="20"/>
          <w:szCs w:val="20"/>
        </w:rPr>
        <w:t>l Hazards Plan Review Committee reviews critical jurisdiction, state, and private sector plans for consistency and continuity.</w:t>
      </w:r>
    </w:p>
    <w:p w:rsidR="00912CB0" w:rsidRPr="00596424" w:rsidRDefault="00B97434" w:rsidP="00445D61">
      <w:pPr>
        <w:pStyle w:val="NormalWeb"/>
        <w:numPr>
          <w:ilvl w:val="0"/>
          <w:numId w:val="8"/>
        </w:numPr>
        <w:spacing w:before="120" w:beforeAutospacing="0"/>
        <w:rPr>
          <w:rFonts w:asciiTheme="minorHAnsi" w:hAnsiTheme="minorHAnsi" w:cstheme="minorHAnsi"/>
          <w:sz w:val="20"/>
          <w:szCs w:val="20"/>
        </w:rPr>
      </w:pPr>
      <w:r w:rsidRPr="00387C76">
        <w:rPr>
          <w:rFonts w:asciiTheme="minorHAnsi" w:hAnsiTheme="minorHAnsi" w:cstheme="minorHAnsi"/>
          <w:b/>
          <w:sz w:val="20"/>
          <w:szCs w:val="20"/>
        </w:rPr>
        <w:t>Assist</w:t>
      </w:r>
      <w:r w:rsidR="00325353">
        <w:rPr>
          <w:rFonts w:asciiTheme="minorHAnsi" w:hAnsiTheme="minorHAnsi" w:cstheme="minorHAnsi"/>
          <w:b/>
          <w:sz w:val="20"/>
          <w:szCs w:val="20"/>
        </w:rPr>
        <w:t>ance</w:t>
      </w:r>
      <w:r w:rsidR="00912CB0" w:rsidRPr="00387C76">
        <w:rPr>
          <w:rFonts w:asciiTheme="minorHAnsi" w:hAnsiTheme="minorHAnsi" w:cstheme="minorHAnsi"/>
          <w:b/>
          <w:sz w:val="20"/>
          <w:szCs w:val="20"/>
        </w:rPr>
        <w:t xml:space="preserve"> in </w:t>
      </w:r>
      <w:r w:rsidR="00325353">
        <w:rPr>
          <w:rFonts w:asciiTheme="minorHAnsi" w:hAnsiTheme="minorHAnsi" w:cstheme="minorHAnsi"/>
          <w:b/>
          <w:sz w:val="20"/>
          <w:szCs w:val="20"/>
        </w:rPr>
        <w:t xml:space="preserve">designing </w:t>
      </w:r>
      <w:r w:rsidR="00912CB0" w:rsidRPr="00387C76">
        <w:rPr>
          <w:rFonts w:asciiTheme="minorHAnsi" w:hAnsiTheme="minorHAnsi" w:cstheme="minorHAnsi"/>
          <w:b/>
          <w:sz w:val="20"/>
          <w:szCs w:val="20"/>
        </w:rPr>
        <w:t>table top exercise (TTX)</w:t>
      </w:r>
      <w:r w:rsidR="00387C76" w:rsidRPr="00387C76">
        <w:rPr>
          <w:rFonts w:asciiTheme="minorHAnsi" w:hAnsiTheme="minorHAnsi" w:cstheme="minorHAnsi"/>
          <w:sz w:val="20"/>
          <w:szCs w:val="20"/>
        </w:rPr>
        <w:t xml:space="preserve">. </w:t>
      </w:r>
      <w:r w:rsidR="00387C76" w:rsidRPr="00387C76">
        <w:rPr>
          <w:rFonts w:asciiTheme="minorHAnsi" w:hAnsiTheme="minorHAnsi" w:cstheme="minorHAnsi"/>
          <w:sz w:val="20"/>
          <w:szCs w:val="20"/>
        </w:rPr>
        <w:br/>
      </w:r>
      <w:r w:rsidR="00325353">
        <w:rPr>
          <w:rFonts w:asciiTheme="minorHAnsi" w:hAnsiTheme="minorHAnsi" w:cstheme="minorHAnsi"/>
          <w:sz w:val="20"/>
          <w:szCs w:val="20"/>
        </w:rPr>
        <w:t>Templates and other technical assistance to develop a table top exercise that tests existing or nearly-</w:t>
      </w:r>
      <w:r w:rsidR="00912CB0" w:rsidRPr="00596424">
        <w:rPr>
          <w:rFonts w:asciiTheme="minorHAnsi" w:hAnsiTheme="minorHAnsi" w:cstheme="minorHAnsi"/>
          <w:sz w:val="20"/>
          <w:szCs w:val="20"/>
        </w:rPr>
        <w:t>developed plan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D6498" w:rsidRPr="00596424" w:rsidRDefault="00325353" w:rsidP="00BE039D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Continuity of Operations planning is an ongoing effort. </w:t>
      </w:r>
      <w:r w:rsidR="00AD6498" w:rsidRPr="00596424">
        <w:rPr>
          <w:rFonts w:asciiTheme="minorHAnsi" w:hAnsiTheme="minorHAnsi" w:cstheme="minorHAnsi"/>
          <w:sz w:val="20"/>
          <w:szCs w:val="20"/>
        </w:rPr>
        <w:t>DMVA/DHS&amp;</w:t>
      </w:r>
      <w:r>
        <w:rPr>
          <w:rFonts w:asciiTheme="minorHAnsi" w:hAnsiTheme="minorHAnsi" w:cstheme="minorHAnsi"/>
          <w:sz w:val="20"/>
          <w:szCs w:val="20"/>
        </w:rPr>
        <w:t xml:space="preserve">EM is committed to providing ongoing support to </w:t>
      </w:r>
      <w:r w:rsidR="00AD6498" w:rsidRPr="00596424">
        <w:rPr>
          <w:rFonts w:asciiTheme="minorHAnsi" w:hAnsiTheme="minorHAnsi" w:cstheme="minorHAnsi"/>
          <w:sz w:val="20"/>
          <w:szCs w:val="20"/>
        </w:rPr>
        <w:t>maintain</w:t>
      </w:r>
      <w:r w:rsidR="00801654" w:rsidRPr="00596424">
        <w:rPr>
          <w:rFonts w:asciiTheme="minorHAnsi" w:hAnsiTheme="minorHAnsi" w:cstheme="minorHAnsi"/>
          <w:sz w:val="20"/>
          <w:szCs w:val="20"/>
        </w:rPr>
        <w:t xml:space="preserve"> the</w:t>
      </w:r>
      <w:r>
        <w:rPr>
          <w:rFonts w:asciiTheme="minorHAnsi" w:hAnsiTheme="minorHAnsi" w:cstheme="minorHAnsi"/>
          <w:sz w:val="20"/>
          <w:szCs w:val="20"/>
        </w:rPr>
        <w:t xml:space="preserve"> COOP planning efforts.</w:t>
      </w:r>
    </w:p>
    <w:p w:rsidR="00801654" w:rsidRDefault="00801654" w:rsidP="0060782E">
      <w:pPr>
        <w:pStyle w:val="NoSpacing"/>
        <w:spacing w:after="12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Next Step</w:t>
      </w:r>
      <w:bookmarkStart w:id="0" w:name="_GoBack"/>
      <w:r>
        <w:rPr>
          <w:b/>
          <w:color w:val="262626" w:themeColor="text1" w:themeTint="D9"/>
          <w:sz w:val="28"/>
          <w:szCs w:val="28"/>
        </w:rPr>
        <w:t>s</w:t>
      </w:r>
      <w:bookmarkEnd w:id="0"/>
    </w:p>
    <w:p w:rsidR="00325353" w:rsidRPr="00325353" w:rsidRDefault="00CF3F52" w:rsidP="00325353">
      <w:pPr>
        <w:pStyle w:val="NoSpacing"/>
        <w:numPr>
          <w:ilvl w:val="0"/>
          <w:numId w:val="9"/>
        </w:numPr>
        <w:spacing w:after="120"/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color w:val="262626" w:themeColor="text1" w:themeTint="D9"/>
          <w:sz w:val="28"/>
          <w:szCs w:val="28"/>
        </w:rPr>
        <w:t>Designate</w:t>
      </w:r>
      <w:r w:rsidR="00325353">
        <w:rPr>
          <w:b/>
          <w:i/>
          <w:color w:val="262626" w:themeColor="text1" w:themeTint="D9"/>
          <w:sz w:val="28"/>
          <w:szCs w:val="28"/>
        </w:rPr>
        <w:t xml:space="preserve"> Departmental COOP Planning Lead</w:t>
      </w:r>
    </w:p>
    <w:p w:rsidR="00325353" w:rsidRPr="003A1AB8" w:rsidRDefault="00CF3F52" w:rsidP="00CF3F5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Designate Departmental COOP planning lead </w:t>
      </w:r>
      <w:r w:rsidR="00325353">
        <w:rPr>
          <w:sz w:val="20"/>
          <w:szCs w:val="20"/>
        </w:rPr>
        <w:t>for the Statewide Continuity of Operations Plan Initiative.</w:t>
      </w:r>
    </w:p>
    <w:p w:rsidR="00CF3F52" w:rsidRPr="00325353" w:rsidRDefault="00CF3F52" w:rsidP="00CF3F52">
      <w:pPr>
        <w:pStyle w:val="NoSpacing"/>
        <w:numPr>
          <w:ilvl w:val="0"/>
          <w:numId w:val="9"/>
        </w:numPr>
        <w:spacing w:before="120" w:after="120"/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color w:val="262626" w:themeColor="text1" w:themeTint="D9"/>
          <w:sz w:val="28"/>
          <w:szCs w:val="28"/>
        </w:rPr>
        <w:t>Notify DMVA/DHS&amp;EM</w:t>
      </w:r>
    </w:p>
    <w:p w:rsidR="00CF3F52" w:rsidRPr="00596424" w:rsidRDefault="00CF3F52" w:rsidP="007F0E20">
      <w:pPr>
        <w:pStyle w:val="NoSpacing"/>
        <w:spacing w:after="120"/>
        <w:ind w:left="720"/>
        <w:rPr>
          <w:b/>
          <w:sz w:val="20"/>
          <w:szCs w:val="20"/>
        </w:rPr>
      </w:pPr>
      <w:r>
        <w:rPr>
          <w:sz w:val="20"/>
          <w:szCs w:val="20"/>
        </w:rPr>
        <w:t>Email COOP planning lead to</w:t>
      </w:r>
      <w:r w:rsidRPr="00CF3F52">
        <w:rPr>
          <w:b/>
          <w:sz w:val="20"/>
          <w:szCs w:val="20"/>
        </w:rPr>
        <w:t xml:space="preserve"> </w:t>
      </w:r>
      <w:hyperlink r:id="rId9" w:history="1">
        <w:r w:rsidRPr="00CF3F52">
          <w:rPr>
            <w:rStyle w:val="Hyperlink"/>
            <w:b/>
            <w:sz w:val="20"/>
            <w:szCs w:val="20"/>
          </w:rPr>
          <w:t>kim.weibl@alaska.gov</w:t>
        </w:r>
      </w:hyperlink>
      <w:r>
        <w:rPr>
          <w:b/>
        </w:rPr>
        <w:t>.</w:t>
      </w:r>
    </w:p>
    <w:p w:rsidR="00325353" w:rsidRPr="00325353" w:rsidRDefault="00CF3F52" w:rsidP="00CF3F52">
      <w:pPr>
        <w:pStyle w:val="NoSpacing"/>
        <w:numPr>
          <w:ilvl w:val="0"/>
          <w:numId w:val="9"/>
        </w:numPr>
        <w:spacing w:before="120" w:after="120"/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color w:val="262626" w:themeColor="text1" w:themeTint="D9"/>
          <w:sz w:val="28"/>
          <w:szCs w:val="28"/>
        </w:rPr>
        <w:t>Complete COOP Independent Study</w:t>
      </w:r>
    </w:p>
    <w:p w:rsidR="0060782E" w:rsidRPr="00596424" w:rsidRDefault="00325353" w:rsidP="00325353">
      <w:pPr>
        <w:pStyle w:val="NoSpacing"/>
        <w:ind w:left="720"/>
        <w:rPr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DMVA/</w:t>
      </w:r>
      <w:r w:rsidR="00BE039D" w:rsidRPr="00596424">
        <w:rPr>
          <w:color w:val="262626" w:themeColor="text1" w:themeTint="D9"/>
          <w:sz w:val="20"/>
          <w:szCs w:val="20"/>
        </w:rPr>
        <w:t>DHS&amp;EM</w:t>
      </w:r>
      <w:r w:rsidR="00BE039D" w:rsidRPr="00596424">
        <w:rPr>
          <w:b/>
          <w:color w:val="262626" w:themeColor="text1" w:themeTint="D9"/>
          <w:sz w:val="20"/>
          <w:szCs w:val="20"/>
        </w:rPr>
        <w:t xml:space="preserve"> </w:t>
      </w:r>
      <w:r w:rsidR="00BE039D" w:rsidRPr="00596424">
        <w:rPr>
          <w:color w:val="262626" w:themeColor="text1" w:themeTint="D9"/>
          <w:sz w:val="20"/>
          <w:szCs w:val="20"/>
        </w:rPr>
        <w:t xml:space="preserve">strongly </w:t>
      </w:r>
      <w:r w:rsidR="0023679D" w:rsidRPr="00596424">
        <w:rPr>
          <w:color w:val="262626" w:themeColor="text1" w:themeTint="D9"/>
          <w:sz w:val="20"/>
          <w:szCs w:val="20"/>
        </w:rPr>
        <w:t>recommend</w:t>
      </w:r>
      <w:r>
        <w:rPr>
          <w:color w:val="262626" w:themeColor="text1" w:themeTint="D9"/>
          <w:sz w:val="20"/>
          <w:szCs w:val="20"/>
        </w:rPr>
        <w:t xml:space="preserve">s </w:t>
      </w:r>
      <w:r w:rsidR="00BE039D" w:rsidRPr="00596424">
        <w:rPr>
          <w:color w:val="262626" w:themeColor="text1" w:themeTint="D9"/>
          <w:sz w:val="20"/>
          <w:szCs w:val="20"/>
        </w:rPr>
        <w:t xml:space="preserve">that each </w:t>
      </w:r>
      <w:r w:rsidR="00CF3F52">
        <w:rPr>
          <w:color w:val="262626" w:themeColor="text1" w:themeTint="D9"/>
          <w:sz w:val="20"/>
          <w:szCs w:val="20"/>
        </w:rPr>
        <w:t>COOP planning lead and workgroup member</w:t>
      </w:r>
      <w:r w:rsidR="00BE039D" w:rsidRPr="00596424">
        <w:rPr>
          <w:color w:val="262626" w:themeColor="text1" w:themeTint="D9"/>
          <w:sz w:val="20"/>
          <w:szCs w:val="20"/>
        </w:rPr>
        <w:t xml:space="preserve"> </w:t>
      </w:r>
      <w:r w:rsidR="0023679D" w:rsidRPr="00596424">
        <w:rPr>
          <w:sz w:val="20"/>
          <w:szCs w:val="20"/>
        </w:rPr>
        <w:t>complete the Continuity of Operations Planning Workshop prerequisite</w:t>
      </w:r>
      <w:r>
        <w:rPr>
          <w:sz w:val="20"/>
          <w:szCs w:val="20"/>
        </w:rPr>
        <w:t>,</w:t>
      </w:r>
      <w:r w:rsidR="0060782E" w:rsidRPr="00596424">
        <w:rPr>
          <w:sz w:val="20"/>
          <w:szCs w:val="20"/>
        </w:rPr>
        <w:t xml:space="preserve"> </w:t>
      </w:r>
      <w:r w:rsidR="0060782E" w:rsidRPr="00CF3F52">
        <w:rPr>
          <w:b/>
          <w:sz w:val="20"/>
          <w:szCs w:val="20"/>
        </w:rPr>
        <w:t xml:space="preserve">IS-546 </w:t>
      </w:r>
      <w:r w:rsidR="0023679D" w:rsidRPr="00CF3F52">
        <w:rPr>
          <w:b/>
          <w:sz w:val="20"/>
          <w:szCs w:val="20"/>
        </w:rPr>
        <w:t>Continuity of Operations Awareness</w:t>
      </w:r>
      <w:r>
        <w:rPr>
          <w:sz w:val="20"/>
          <w:szCs w:val="20"/>
        </w:rPr>
        <w:t>. This independent study course</w:t>
      </w:r>
      <w:r w:rsidR="0023679D" w:rsidRPr="00596424">
        <w:rPr>
          <w:sz w:val="20"/>
          <w:szCs w:val="20"/>
        </w:rPr>
        <w:t xml:space="preserve"> </w:t>
      </w:r>
      <w:r w:rsidR="00596424" w:rsidRPr="00596424">
        <w:rPr>
          <w:sz w:val="20"/>
          <w:szCs w:val="20"/>
        </w:rPr>
        <w:t>is available</w:t>
      </w:r>
      <w:r w:rsidR="00425FCD" w:rsidRPr="00596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Pr="00596424">
        <w:rPr>
          <w:sz w:val="20"/>
          <w:szCs w:val="20"/>
        </w:rPr>
        <w:t>FEMA’s COOP training Site</w:t>
      </w:r>
      <w:r w:rsidR="00425FCD" w:rsidRPr="0059642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10" w:history="1">
        <w:r w:rsidR="0060782E" w:rsidRPr="00596424">
          <w:rPr>
            <w:rStyle w:val="Hyperlink"/>
            <w:sz w:val="20"/>
            <w:szCs w:val="20"/>
          </w:rPr>
          <w:t>http://www.fema.gov/about/org/ncp/coop/training.shtm</w:t>
        </w:r>
      </w:hyperlink>
      <w:r w:rsidR="0060782E" w:rsidRPr="00596424">
        <w:rPr>
          <w:sz w:val="20"/>
          <w:szCs w:val="20"/>
        </w:rPr>
        <w:t xml:space="preserve">. </w:t>
      </w:r>
    </w:p>
    <w:p w:rsidR="003A1AB8" w:rsidRDefault="003A1AB8" w:rsidP="007E5BE1">
      <w:pPr>
        <w:pStyle w:val="NoSpacing"/>
      </w:pPr>
    </w:p>
    <w:p w:rsidR="00B01CB9" w:rsidRPr="00CF3F52" w:rsidRDefault="007E5BE1" w:rsidP="00596424">
      <w:pPr>
        <w:pStyle w:val="NoSpacing"/>
        <w:rPr>
          <w:b/>
          <w:sz w:val="28"/>
          <w:szCs w:val="28"/>
        </w:rPr>
      </w:pPr>
      <w:r w:rsidRPr="00CF3F52">
        <w:rPr>
          <w:b/>
          <w:sz w:val="28"/>
          <w:szCs w:val="28"/>
        </w:rPr>
        <w:t xml:space="preserve">The </w:t>
      </w:r>
      <w:r w:rsidR="00CF3F52" w:rsidRPr="00CF3F52">
        <w:rPr>
          <w:b/>
          <w:sz w:val="28"/>
          <w:szCs w:val="28"/>
        </w:rPr>
        <w:t xml:space="preserve">State of Alaska </w:t>
      </w:r>
      <w:r w:rsidRPr="00CF3F52">
        <w:rPr>
          <w:b/>
          <w:sz w:val="28"/>
          <w:szCs w:val="28"/>
        </w:rPr>
        <w:t>points of contact for COOP planning are:</w:t>
      </w:r>
    </w:p>
    <w:p w:rsidR="00BC67D6" w:rsidRDefault="00BC67D6" w:rsidP="00596424">
      <w:pPr>
        <w:pStyle w:val="NoSpacing"/>
        <w:rPr>
          <w:b/>
          <w:sz w:val="24"/>
          <w:szCs w:val="24"/>
        </w:rPr>
      </w:pPr>
    </w:p>
    <w:p w:rsidR="007E5BE1" w:rsidRPr="00596424" w:rsidRDefault="007E5BE1" w:rsidP="00596424">
      <w:pPr>
        <w:pStyle w:val="NoSpacing"/>
        <w:numPr>
          <w:ilvl w:val="0"/>
          <w:numId w:val="4"/>
        </w:numPr>
        <w:spacing w:after="120"/>
        <w:rPr>
          <w:b/>
          <w:sz w:val="20"/>
          <w:szCs w:val="20"/>
        </w:rPr>
      </w:pPr>
      <w:r w:rsidRPr="00596424">
        <w:rPr>
          <w:b/>
          <w:sz w:val="20"/>
          <w:szCs w:val="20"/>
        </w:rPr>
        <w:t>Kim Weibl</w:t>
      </w:r>
      <w:r w:rsidRPr="00CF3F52">
        <w:rPr>
          <w:sz w:val="20"/>
          <w:szCs w:val="20"/>
        </w:rPr>
        <w:t>,</w:t>
      </w:r>
      <w:r w:rsidRPr="00596424">
        <w:rPr>
          <w:b/>
          <w:sz w:val="20"/>
          <w:szCs w:val="20"/>
        </w:rPr>
        <w:t xml:space="preserve"> </w:t>
      </w:r>
      <w:r w:rsidRPr="00CF3F52">
        <w:rPr>
          <w:sz w:val="20"/>
          <w:szCs w:val="20"/>
        </w:rPr>
        <w:t xml:space="preserve">Emergency Management Specialist II at </w:t>
      </w:r>
      <w:hyperlink r:id="rId11" w:history="1">
        <w:r w:rsidRPr="00CF3F52">
          <w:rPr>
            <w:rStyle w:val="Hyperlink"/>
            <w:sz w:val="20"/>
            <w:szCs w:val="20"/>
          </w:rPr>
          <w:t>kim.weibl@alaska.gov</w:t>
        </w:r>
      </w:hyperlink>
    </w:p>
    <w:p w:rsidR="007E5BE1" w:rsidRPr="00596424" w:rsidRDefault="007E5BE1" w:rsidP="00596424">
      <w:pPr>
        <w:pStyle w:val="NoSpacing"/>
        <w:numPr>
          <w:ilvl w:val="0"/>
          <w:numId w:val="4"/>
        </w:numPr>
        <w:spacing w:after="120"/>
        <w:rPr>
          <w:b/>
          <w:sz w:val="20"/>
          <w:szCs w:val="20"/>
        </w:rPr>
      </w:pPr>
      <w:r w:rsidRPr="00596424">
        <w:rPr>
          <w:b/>
          <w:sz w:val="20"/>
          <w:szCs w:val="20"/>
        </w:rPr>
        <w:t>Andy Jones</w:t>
      </w:r>
      <w:r w:rsidRPr="00CF3F52">
        <w:rPr>
          <w:sz w:val="20"/>
          <w:szCs w:val="20"/>
        </w:rPr>
        <w:t xml:space="preserve">, Lead Planner at </w:t>
      </w:r>
      <w:hyperlink r:id="rId12" w:history="1">
        <w:r w:rsidRPr="00CF3F52">
          <w:rPr>
            <w:rStyle w:val="Hyperlink"/>
            <w:sz w:val="20"/>
            <w:szCs w:val="20"/>
          </w:rPr>
          <w:t>andy.jones@alaska.gov</w:t>
        </w:r>
      </w:hyperlink>
      <w:r w:rsidRPr="00596424">
        <w:rPr>
          <w:b/>
          <w:sz w:val="20"/>
          <w:szCs w:val="20"/>
        </w:rPr>
        <w:t xml:space="preserve"> </w:t>
      </w:r>
    </w:p>
    <w:p w:rsidR="00041FFA" w:rsidRPr="00CF3F52" w:rsidRDefault="007E5BE1" w:rsidP="00596424">
      <w:pPr>
        <w:pStyle w:val="NoSpacing"/>
        <w:numPr>
          <w:ilvl w:val="0"/>
          <w:numId w:val="4"/>
        </w:numPr>
        <w:spacing w:after="120"/>
        <w:rPr>
          <w:sz w:val="20"/>
          <w:szCs w:val="20"/>
        </w:rPr>
      </w:pPr>
      <w:r w:rsidRPr="00596424">
        <w:rPr>
          <w:b/>
          <w:sz w:val="20"/>
          <w:szCs w:val="20"/>
        </w:rPr>
        <w:t>David Kang</w:t>
      </w:r>
      <w:r w:rsidRPr="00CF3F52">
        <w:rPr>
          <w:sz w:val="20"/>
          <w:szCs w:val="20"/>
        </w:rPr>
        <w:t xml:space="preserve">, Planning Program Manager at </w:t>
      </w:r>
      <w:hyperlink r:id="rId13" w:history="1">
        <w:r w:rsidRPr="00CF3F52">
          <w:rPr>
            <w:rStyle w:val="Hyperlink"/>
            <w:sz w:val="20"/>
            <w:szCs w:val="20"/>
          </w:rPr>
          <w:t>david.kang@alaska.gov</w:t>
        </w:r>
      </w:hyperlink>
    </w:p>
    <w:sectPr w:rsidR="00041FFA" w:rsidRPr="00CF3F52" w:rsidSect="00666E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53" w:rsidRDefault="00325353" w:rsidP="00666E0B">
      <w:pPr>
        <w:spacing w:after="0" w:line="240" w:lineRule="auto"/>
      </w:pPr>
      <w:r>
        <w:separator/>
      </w:r>
    </w:p>
  </w:endnote>
  <w:endnote w:type="continuationSeparator" w:id="0">
    <w:p w:rsidR="00325353" w:rsidRDefault="00325353" w:rsidP="0066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5" w:rsidRDefault="004F5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53" w:rsidRDefault="00325353">
    <w:pPr>
      <w:pStyle w:val="Footer"/>
    </w:pPr>
    <w:r>
      <w:t xml:space="preserve">PSF 001 </w:t>
    </w:r>
    <w:r>
      <w:tab/>
    </w:r>
    <w:r>
      <w:tab/>
      <w:t xml:space="preserve">November </w:t>
    </w:r>
    <w:r w:rsidR="004F5165">
      <w:t>22</w:t>
    </w:r>
    <w:r>
      <w:t>,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5" w:rsidRDefault="004F5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53" w:rsidRDefault="00325353" w:rsidP="00666E0B">
      <w:pPr>
        <w:spacing w:after="0" w:line="240" w:lineRule="auto"/>
      </w:pPr>
      <w:r>
        <w:separator/>
      </w:r>
    </w:p>
  </w:footnote>
  <w:footnote w:type="continuationSeparator" w:id="0">
    <w:p w:rsidR="00325353" w:rsidRDefault="00325353" w:rsidP="0066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5" w:rsidRDefault="004F5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5" w:rsidRDefault="004F51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5" w:rsidRDefault="004F5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49B"/>
    <w:multiLevelType w:val="hybridMultilevel"/>
    <w:tmpl w:val="56F6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31B"/>
    <w:multiLevelType w:val="hybridMultilevel"/>
    <w:tmpl w:val="9746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70D"/>
    <w:multiLevelType w:val="hybridMultilevel"/>
    <w:tmpl w:val="BB3C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81AE2"/>
    <w:multiLevelType w:val="hybridMultilevel"/>
    <w:tmpl w:val="0578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4465A"/>
    <w:multiLevelType w:val="hybridMultilevel"/>
    <w:tmpl w:val="9E7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4BD1"/>
    <w:multiLevelType w:val="hybridMultilevel"/>
    <w:tmpl w:val="398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F4BA3"/>
    <w:multiLevelType w:val="hybridMultilevel"/>
    <w:tmpl w:val="03C4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296B"/>
    <w:multiLevelType w:val="hybridMultilevel"/>
    <w:tmpl w:val="2C8A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27962"/>
    <w:multiLevelType w:val="hybridMultilevel"/>
    <w:tmpl w:val="8CD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0B"/>
    <w:rsid w:val="00035F61"/>
    <w:rsid w:val="00040540"/>
    <w:rsid w:val="00041FFA"/>
    <w:rsid w:val="0012640C"/>
    <w:rsid w:val="00152370"/>
    <w:rsid w:val="00155F86"/>
    <w:rsid w:val="00160B62"/>
    <w:rsid w:val="0023679D"/>
    <w:rsid w:val="00325353"/>
    <w:rsid w:val="00341B56"/>
    <w:rsid w:val="00387C76"/>
    <w:rsid w:val="003A1AB8"/>
    <w:rsid w:val="0041455D"/>
    <w:rsid w:val="00425FCD"/>
    <w:rsid w:val="00445D61"/>
    <w:rsid w:val="004F5165"/>
    <w:rsid w:val="00515149"/>
    <w:rsid w:val="00596424"/>
    <w:rsid w:val="0060782E"/>
    <w:rsid w:val="006100FE"/>
    <w:rsid w:val="006102A5"/>
    <w:rsid w:val="006115F9"/>
    <w:rsid w:val="00666E0B"/>
    <w:rsid w:val="006A4CD8"/>
    <w:rsid w:val="006F33E8"/>
    <w:rsid w:val="0070085B"/>
    <w:rsid w:val="007039AB"/>
    <w:rsid w:val="00724404"/>
    <w:rsid w:val="00765841"/>
    <w:rsid w:val="00796A8E"/>
    <w:rsid w:val="007B1EE3"/>
    <w:rsid w:val="007E5BE1"/>
    <w:rsid w:val="007F0E20"/>
    <w:rsid w:val="007F1B11"/>
    <w:rsid w:val="00801654"/>
    <w:rsid w:val="0081713F"/>
    <w:rsid w:val="008B4E38"/>
    <w:rsid w:val="008C47A9"/>
    <w:rsid w:val="008F0325"/>
    <w:rsid w:val="00912CB0"/>
    <w:rsid w:val="009A48FE"/>
    <w:rsid w:val="009C70DE"/>
    <w:rsid w:val="009D6F83"/>
    <w:rsid w:val="009F74B4"/>
    <w:rsid w:val="00A7713E"/>
    <w:rsid w:val="00A80EF2"/>
    <w:rsid w:val="00A823D6"/>
    <w:rsid w:val="00AD6498"/>
    <w:rsid w:val="00B01CB9"/>
    <w:rsid w:val="00B97434"/>
    <w:rsid w:val="00BB153E"/>
    <w:rsid w:val="00BB7950"/>
    <w:rsid w:val="00BC67D6"/>
    <w:rsid w:val="00BD675D"/>
    <w:rsid w:val="00BE039D"/>
    <w:rsid w:val="00C27CE1"/>
    <w:rsid w:val="00C5286A"/>
    <w:rsid w:val="00CF3F52"/>
    <w:rsid w:val="00CF7214"/>
    <w:rsid w:val="00D36FC3"/>
    <w:rsid w:val="00E0742C"/>
    <w:rsid w:val="00E261E0"/>
    <w:rsid w:val="00E6624B"/>
    <w:rsid w:val="00ED1E20"/>
    <w:rsid w:val="00F00197"/>
    <w:rsid w:val="00F22A8F"/>
    <w:rsid w:val="00F614A9"/>
    <w:rsid w:val="00F97213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0B"/>
  </w:style>
  <w:style w:type="paragraph" w:styleId="Footer">
    <w:name w:val="footer"/>
    <w:basedOn w:val="Normal"/>
    <w:link w:val="FooterChar"/>
    <w:uiPriority w:val="99"/>
    <w:unhideWhenUsed/>
    <w:rsid w:val="0066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0B"/>
  </w:style>
  <w:style w:type="paragraph" w:styleId="NormalWeb">
    <w:name w:val="Normal (Web)"/>
    <w:basedOn w:val="Normal"/>
    <w:uiPriority w:val="99"/>
    <w:unhideWhenUsed/>
    <w:rsid w:val="0066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6E0B"/>
    <w:pPr>
      <w:spacing w:after="0" w:line="240" w:lineRule="auto"/>
    </w:pPr>
  </w:style>
  <w:style w:type="table" w:styleId="TableGrid">
    <w:name w:val="Table Grid"/>
    <w:basedOn w:val="TableNormal"/>
    <w:uiPriority w:val="59"/>
    <w:rsid w:val="007E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B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0B"/>
  </w:style>
  <w:style w:type="paragraph" w:styleId="Footer">
    <w:name w:val="footer"/>
    <w:basedOn w:val="Normal"/>
    <w:link w:val="FooterChar"/>
    <w:uiPriority w:val="99"/>
    <w:unhideWhenUsed/>
    <w:rsid w:val="0066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0B"/>
  </w:style>
  <w:style w:type="paragraph" w:styleId="NormalWeb">
    <w:name w:val="Normal (Web)"/>
    <w:basedOn w:val="Normal"/>
    <w:uiPriority w:val="99"/>
    <w:unhideWhenUsed/>
    <w:rsid w:val="0066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6E0B"/>
    <w:pPr>
      <w:spacing w:after="0" w:line="240" w:lineRule="auto"/>
    </w:pPr>
  </w:style>
  <w:style w:type="table" w:styleId="TableGrid">
    <w:name w:val="Table Grid"/>
    <w:basedOn w:val="TableNormal"/>
    <w:uiPriority w:val="59"/>
    <w:rsid w:val="007E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B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kang@alask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dy.jones@alask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.weibl@alask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ema.gov/about/org/ncp/coop/training.s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im.weibl@alaska.gov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E42C-61DB-4B3D-B829-66BB2801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&amp; Andy Jones</dc:creator>
  <cp:lastModifiedBy>krweibl</cp:lastModifiedBy>
  <cp:revision>7</cp:revision>
  <cp:lastPrinted>2011-11-14T23:38:00Z</cp:lastPrinted>
  <dcterms:created xsi:type="dcterms:W3CDTF">2011-11-14T23:40:00Z</dcterms:created>
  <dcterms:modified xsi:type="dcterms:W3CDTF">2011-11-22T22:45:00Z</dcterms:modified>
</cp:coreProperties>
</file>